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950" w:rsidRPr="001406BC" w:rsidRDefault="003D11EC" w:rsidP="00C85950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-114300</wp:posOffset>
                </wp:positionV>
                <wp:extent cx="6286500" cy="1488440"/>
                <wp:effectExtent l="7620" t="9525" r="11430" b="698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48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BD7" w:rsidRPr="00C85950" w:rsidRDefault="00CE0BD7" w:rsidP="00C85950">
                            <w:pPr>
                              <w:pStyle w:val="1"/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 w:rsidRPr="00C85950">
                              <w:rPr>
                                <w:b w:val="0"/>
                                <w:sz w:val="28"/>
                                <w:szCs w:val="28"/>
                              </w:rPr>
                              <w:t>РОССИЙСКАЯ ФЕДЕРАЦИЯ</w:t>
                            </w:r>
                          </w:p>
                          <w:p w:rsidR="00CE0BD7" w:rsidRPr="00C85950" w:rsidRDefault="00CE0BD7" w:rsidP="00C85950">
                            <w:pPr>
                              <w:pStyle w:val="1"/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 w:rsidRPr="00C85950">
                              <w:rPr>
                                <w:b w:val="0"/>
                                <w:sz w:val="28"/>
                                <w:szCs w:val="28"/>
                              </w:rPr>
                              <w:t>КРАСНОЯРСКИЙ  КРАЙ</w:t>
                            </w:r>
                          </w:p>
                          <w:p w:rsidR="00A40161" w:rsidRPr="00C85950" w:rsidRDefault="00A40161" w:rsidP="00C85950">
                            <w:pPr>
                              <w:jc w:val="center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C85950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МУНИЦИПАЛЬНОЕ ОБРАЗОВАНИЕ ГОРОД МИНУСИНСК</w:t>
                            </w:r>
                          </w:p>
                          <w:p w:rsidR="00CE0BD7" w:rsidRPr="00C85950" w:rsidRDefault="00CE0BD7" w:rsidP="00C85950">
                            <w:pPr>
                              <w:pStyle w:val="1"/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 w:rsidRPr="00C85950">
                              <w:rPr>
                                <w:b w:val="0"/>
                                <w:sz w:val="28"/>
                                <w:szCs w:val="28"/>
                              </w:rPr>
                              <w:t>МИНУСИНСКИЙ ГОРОДСКОЙ СОВЕТ ДЕПУТАТОВ</w:t>
                            </w:r>
                          </w:p>
                          <w:p w:rsidR="00CE0BD7" w:rsidRPr="00FA45BD" w:rsidRDefault="00CE0BD7" w:rsidP="00BA5698">
                            <w:pPr>
                              <w:pStyle w:val="1"/>
                              <w:jc w:val="center"/>
                            </w:pPr>
                          </w:p>
                          <w:p w:rsidR="00CE0BD7" w:rsidRPr="003671E2" w:rsidRDefault="00C85950" w:rsidP="00BA5698">
                            <w:pPr>
                              <w:pStyle w:val="3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РЕШЕНИ</w:t>
                            </w:r>
                            <w:r w:rsidR="00CE0BD7" w:rsidRPr="003671E2">
                              <w:rPr>
                                <w:b/>
                                <w:sz w:val="48"/>
                                <w:szCs w:val="48"/>
                              </w:rPr>
                              <w:t>Е</w:t>
                            </w:r>
                          </w:p>
                          <w:p w:rsidR="00CE0BD7" w:rsidRDefault="00CE0BD7" w:rsidP="00BA5698">
                            <w:pPr>
                              <w:ind w:righ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1.4pt;margin-top:-9pt;width:495pt;height:11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xFKAIAAFEEAAAOAAAAZHJzL2Uyb0RvYy54bWysVMGO2yAQvVfqPyDujZ0oSbNWnNU221SV&#10;tttKu/0AjLGNCgwFEjv9+g44m1rtparqAwJmeLx5b/D2dtCKnITzEkxJ57OcEmE41NK0Jf36fHiz&#10;ocQHZmqmwIiSnoWnt7vXr7a9LcQCOlC1cARBjC96W9IuBFtkmeed0MzPwAqDwQacZgGXrs1qx3pE&#10;1ypb5Pk668HV1gEX3uPu/Riku4TfNIKHz03jRSCqpMgtpNGlsYpjttuyonXMdpJfaLB/YKGZNHjp&#10;FeqeBUaOTv4BpSV34KEJMw46g6aRXKQasJp5/ls1Tx2zItWC4nh7lcn/P1j+ePriiKzRO0oM02jR&#10;sxgCeQcDWUV1eusLTHqymBYG3I6ZsVJvH4B/88TAvmOmFXfOQd8JViO7eTyZTY6OOD6CVP0nqPEa&#10;dgyQgIbG6QiIYhBER5fOV2ciFY6b68VmvcoxxDE2X242y2XyLmPFy3HrfPggQJM4KalD6xM8Oz34&#10;EOmw4iUl0Qcl64NUKi1cW+2VIyeGbXJIX6oAq5ymKUP6kt6sFqtRgWnM/x2ElgH7XUld0k0ev7ED&#10;o27vTZ26MTCpxjlSVuYiZNRuVDEM1XAxpoL6jJI6GPsa3yFOOnA/KOmxp0vqvx+ZE5SojwZtuZlH&#10;2UhIi+Xq7QIXbhqpphFmOEKVNFAyTvdhfDhH62Tb4U1jIxi4QysbmUSOno+sLryxb5P2lzcWH8Z0&#10;nbJ+/Ql2PwEAAP//AwBQSwMEFAAGAAgAAAAhAAr2mmjgAAAACwEAAA8AAABkcnMvZG93bnJldi54&#10;bWxMj8FOwzAQRO9I/IO1SFxQ68RCoYQ4VVWBOLflws2Nt0lEvE5it0n5epYT3GY1o9k3xXp2nbjg&#10;GFpPGtJlAgKp8ralWsPH4W2xAhGiIWs6T6jhigHW5e1NYXLrJ9rhZR9rwSUUcqOhibHPpQxVg86E&#10;pe+R2Dv50ZnI51hLO5qJy10nVZJk0pmW+ENjetw2WH3tz06Dn16vzuOQqIfPb/e+3Qy7kxq0vr+b&#10;Ny8gIs7xLwy/+IwOJTMd/ZlsEJ2GhVKMHlmkKx7FiefsSYE4alBp9giyLOT/DeUPAAAA//8DAFBL&#10;AQItABQABgAIAAAAIQC2gziS/gAAAOEBAAATAAAAAAAAAAAAAAAAAAAAAABbQ29udGVudF9UeXBl&#10;c10ueG1sUEsBAi0AFAAGAAgAAAAhADj9If/WAAAAlAEAAAsAAAAAAAAAAAAAAAAALwEAAF9yZWxz&#10;Ly5yZWxzUEsBAi0AFAAGAAgAAAAhAIZUXEUoAgAAUQQAAA4AAAAAAAAAAAAAAAAALgIAAGRycy9l&#10;Mm9Eb2MueG1sUEsBAi0AFAAGAAgAAAAhAAr2mmjgAAAACwEAAA8AAAAAAAAAAAAAAAAAggQAAGRy&#10;cy9kb3ducmV2LnhtbFBLBQYAAAAABAAEAPMAAACPBQAAAAA=&#10;" strokecolor="white">
                <v:textbox>
                  <w:txbxContent>
                    <w:p w:rsidR="00CE0BD7" w:rsidRPr="00C85950" w:rsidRDefault="00CE0BD7" w:rsidP="00C85950">
                      <w:pPr>
                        <w:pStyle w:val="1"/>
                        <w:jc w:val="center"/>
                        <w:rPr>
                          <w:b w:val="0"/>
                          <w:sz w:val="28"/>
                          <w:szCs w:val="28"/>
                        </w:rPr>
                      </w:pPr>
                      <w:r w:rsidRPr="00C85950">
                        <w:rPr>
                          <w:b w:val="0"/>
                          <w:sz w:val="28"/>
                          <w:szCs w:val="28"/>
                        </w:rPr>
                        <w:t>РОССИЙСКАЯ ФЕДЕРАЦИЯ</w:t>
                      </w:r>
                    </w:p>
                    <w:p w:rsidR="00CE0BD7" w:rsidRPr="00C85950" w:rsidRDefault="00CE0BD7" w:rsidP="00C85950">
                      <w:pPr>
                        <w:pStyle w:val="1"/>
                        <w:jc w:val="center"/>
                        <w:rPr>
                          <w:b w:val="0"/>
                          <w:sz w:val="28"/>
                          <w:szCs w:val="28"/>
                        </w:rPr>
                      </w:pPr>
                      <w:r w:rsidRPr="00C85950">
                        <w:rPr>
                          <w:b w:val="0"/>
                          <w:sz w:val="28"/>
                          <w:szCs w:val="28"/>
                        </w:rPr>
                        <w:t>КРАСНОЯРСКИЙ  КРАЙ</w:t>
                      </w:r>
                    </w:p>
                    <w:p w:rsidR="00A40161" w:rsidRPr="00C85950" w:rsidRDefault="00A40161" w:rsidP="00C85950">
                      <w:pPr>
                        <w:jc w:val="center"/>
                        <w:rPr>
                          <w:sz w:val="28"/>
                          <w:szCs w:val="28"/>
                          <w:lang w:eastAsia="en-US"/>
                        </w:rPr>
                      </w:pPr>
                      <w:r w:rsidRPr="00C85950">
                        <w:rPr>
                          <w:sz w:val="28"/>
                          <w:szCs w:val="28"/>
                          <w:lang w:eastAsia="en-US"/>
                        </w:rPr>
                        <w:t>МУНИЦИПАЛЬНОЕ ОБРАЗОВАНИЕ ГОРОД МИНУСИНСК</w:t>
                      </w:r>
                    </w:p>
                    <w:p w:rsidR="00CE0BD7" w:rsidRPr="00C85950" w:rsidRDefault="00CE0BD7" w:rsidP="00C85950">
                      <w:pPr>
                        <w:pStyle w:val="1"/>
                        <w:jc w:val="center"/>
                        <w:rPr>
                          <w:b w:val="0"/>
                          <w:sz w:val="28"/>
                          <w:szCs w:val="28"/>
                        </w:rPr>
                      </w:pPr>
                      <w:r w:rsidRPr="00C85950">
                        <w:rPr>
                          <w:b w:val="0"/>
                          <w:sz w:val="28"/>
                          <w:szCs w:val="28"/>
                        </w:rPr>
                        <w:t>МИНУСИНСКИЙ ГОРОДСКОЙ СОВЕТ ДЕПУТАТОВ</w:t>
                      </w:r>
                    </w:p>
                    <w:p w:rsidR="00CE0BD7" w:rsidRPr="00FA45BD" w:rsidRDefault="00CE0BD7" w:rsidP="00BA5698">
                      <w:pPr>
                        <w:pStyle w:val="1"/>
                        <w:jc w:val="center"/>
                      </w:pPr>
                    </w:p>
                    <w:p w:rsidR="00CE0BD7" w:rsidRPr="003671E2" w:rsidRDefault="00C85950" w:rsidP="00BA5698">
                      <w:pPr>
                        <w:pStyle w:val="3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РЕШЕНИ</w:t>
                      </w:r>
                      <w:r w:rsidR="00CE0BD7" w:rsidRPr="003671E2">
                        <w:rPr>
                          <w:b/>
                          <w:sz w:val="48"/>
                          <w:szCs w:val="48"/>
                        </w:rPr>
                        <w:t>Е</w:t>
                      </w:r>
                    </w:p>
                    <w:p w:rsidR="00CE0BD7" w:rsidRDefault="00CE0BD7" w:rsidP="00BA5698">
                      <w:pPr>
                        <w:ind w:right="14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85950">
        <w:t xml:space="preserve"> </w:t>
      </w:r>
      <w:r w:rsidR="001406BC" w:rsidRPr="001406BC">
        <w:rPr>
          <w:sz w:val="28"/>
          <w:szCs w:val="28"/>
        </w:rPr>
        <w:t xml:space="preserve">27.11.2018   </w:t>
      </w:r>
      <w:r w:rsidR="001406BC">
        <w:rPr>
          <w:sz w:val="28"/>
          <w:szCs w:val="28"/>
        </w:rPr>
        <w:t xml:space="preserve">      </w:t>
      </w:r>
      <w:r w:rsidR="001406BC" w:rsidRPr="001406BC">
        <w:rPr>
          <w:sz w:val="28"/>
          <w:szCs w:val="28"/>
        </w:rPr>
        <w:t xml:space="preserve">                                                                                           №14-85р</w:t>
      </w:r>
      <w:r w:rsidR="00C85950" w:rsidRPr="001406BC">
        <w:rPr>
          <w:sz w:val="28"/>
          <w:szCs w:val="28"/>
        </w:rPr>
        <w:t xml:space="preserve">                                                                                               </w:t>
      </w:r>
      <w:r w:rsidR="0062240A" w:rsidRPr="001406BC">
        <w:rPr>
          <w:sz w:val="28"/>
          <w:szCs w:val="28"/>
        </w:rPr>
        <w:t xml:space="preserve">                        </w:t>
      </w:r>
    </w:p>
    <w:p w:rsidR="001406BC" w:rsidRDefault="00472F21" w:rsidP="00C85950">
      <w:r w:rsidRPr="00B97B12">
        <w:t xml:space="preserve">                   </w:t>
      </w:r>
    </w:p>
    <w:p w:rsidR="00FA3290" w:rsidRPr="00B97B12" w:rsidRDefault="00472F21" w:rsidP="00C85950">
      <w:r w:rsidRPr="00B97B1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4EBB" w:rsidRDefault="00B97B12" w:rsidP="00A4016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97B12">
        <w:rPr>
          <w:rFonts w:ascii="Times New Roman" w:hAnsi="Times New Roman" w:cs="Times New Roman"/>
          <w:sz w:val="28"/>
          <w:szCs w:val="28"/>
        </w:rPr>
        <w:t>О внесении изменений в решение Минусинского городского Совета депутатов от 24.05.2011 № 31-264р «Об утверждении Положения о местных налогах на территории муниципального образования город Минусинск»</w:t>
      </w:r>
      <w:r w:rsidR="00FC1162" w:rsidRPr="00FC1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D77" w:rsidRDefault="00630D77" w:rsidP="00A4016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406BC" w:rsidRPr="00B97B12" w:rsidRDefault="001406BC" w:rsidP="00A4016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148C0" w:rsidRPr="0033656F" w:rsidRDefault="00FA3290" w:rsidP="00A148C0">
      <w:pPr>
        <w:jc w:val="both"/>
        <w:rPr>
          <w:sz w:val="28"/>
          <w:szCs w:val="28"/>
        </w:rPr>
      </w:pPr>
      <w:r w:rsidRPr="0033656F">
        <w:rPr>
          <w:sz w:val="28"/>
          <w:szCs w:val="28"/>
        </w:rPr>
        <w:tab/>
      </w:r>
      <w:r w:rsidR="00267AAE">
        <w:rPr>
          <w:sz w:val="28"/>
          <w:szCs w:val="28"/>
        </w:rPr>
        <w:t xml:space="preserve">В соответствии с </w:t>
      </w:r>
      <w:r w:rsidR="00AC591A">
        <w:rPr>
          <w:sz w:val="28"/>
          <w:szCs w:val="28"/>
        </w:rPr>
        <w:t>главой 32 Налогового кодекса Российской Федерации, Федерального закона от 06.10.2003 № 131-ФЗ «Об общих принципах организации местного самоуправления</w:t>
      </w:r>
      <w:r w:rsidR="00BF4247">
        <w:rPr>
          <w:sz w:val="28"/>
          <w:szCs w:val="28"/>
        </w:rPr>
        <w:t xml:space="preserve"> в Российской Федерации, Законом Красноярского края № 6-2108 от 01.11.2018 «Об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</w:t>
      </w:r>
      <w:proofErr w:type="gramStart"/>
      <w:r w:rsidR="00BF4247">
        <w:rPr>
          <w:sz w:val="28"/>
          <w:szCs w:val="28"/>
        </w:rPr>
        <w:t>исходя из кадастровой стоимости объектов налогообложения», ст. 33 Устава городского округа – город Минусинск, в целях упорядочения уплаты местных налогов Минусинский городской совет депутатов РЕШИЛ</w:t>
      </w:r>
      <w:proofErr w:type="gramEnd"/>
      <w:r w:rsidR="00BF4247">
        <w:rPr>
          <w:sz w:val="28"/>
          <w:szCs w:val="28"/>
        </w:rPr>
        <w:t>:</w:t>
      </w:r>
    </w:p>
    <w:p w:rsidR="00FA3290" w:rsidRPr="000E5742" w:rsidRDefault="000E5742" w:rsidP="00C77D53">
      <w:pPr>
        <w:pStyle w:val="ab"/>
        <w:numPr>
          <w:ilvl w:val="0"/>
          <w:numId w:val="7"/>
        </w:numPr>
        <w:tabs>
          <w:tab w:val="left" w:pos="-2835"/>
          <w:tab w:val="left" w:pos="0"/>
        </w:tabs>
        <w:ind w:left="0" w:right="142" w:firstLine="709"/>
        <w:jc w:val="both"/>
      </w:pPr>
      <w:proofErr w:type="gramStart"/>
      <w:r>
        <w:rPr>
          <w:sz w:val="28"/>
          <w:szCs w:val="28"/>
        </w:rPr>
        <w:t xml:space="preserve">Внести </w:t>
      </w:r>
      <w:r w:rsidR="00A702EC">
        <w:rPr>
          <w:sz w:val="28"/>
          <w:szCs w:val="28"/>
        </w:rPr>
        <w:t xml:space="preserve">в раздел 1 «Налог на имущество физических лиц» главы </w:t>
      </w:r>
      <w:r w:rsidR="00A702EC">
        <w:rPr>
          <w:sz w:val="28"/>
          <w:szCs w:val="28"/>
          <w:lang w:val="en-US"/>
        </w:rPr>
        <w:t>II</w:t>
      </w:r>
      <w:r w:rsidR="00A702EC" w:rsidRPr="00630D77">
        <w:rPr>
          <w:sz w:val="28"/>
          <w:szCs w:val="28"/>
        </w:rPr>
        <w:t xml:space="preserve"> </w:t>
      </w:r>
      <w:r w:rsidR="00A702EC">
        <w:rPr>
          <w:sz w:val="28"/>
          <w:szCs w:val="28"/>
        </w:rPr>
        <w:t xml:space="preserve">«Виды местных налогов на территории муниципального образования город Минусинск» </w:t>
      </w:r>
      <w:r>
        <w:rPr>
          <w:sz w:val="28"/>
          <w:szCs w:val="28"/>
        </w:rPr>
        <w:t xml:space="preserve"> </w:t>
      </w:r>
      <w:r w:rsidR="00455888">
        <w:rPr>
          <w:sz w:val="28"/>
          <w:szCs w:val="28"/>
        </w:rPr>
        <w:t>Положени</w:t>
      </w:r>
      <w:r w:rsidR="00A702EC">
        <w:rPr>
          <w:sz w:val="28"/>
          <w:szCs w:val="28"/>
        </w:rPr>
        <w:t>я</w:t>
      </w:r>
      <w:r w:rsidR="00455888">
        <w:rPr>
          <w:sz w:val="28"/>
          <w:szCs w:val="28"/>
        </w:rPr>
        <w:t xml:space="preserve"> о местных налогах на территории муниципального образования город Минусинск</w:t>
      </w:r>
      <w:r>
        <w:rPr>
          <w:sz w:val="28"/>
          <w:szCs w:val="28"/>
        </w:rPr>
        <w:t>, утвержденное Решением</w:t>
      </w:r>
      <w:r w:rsidR="00C77D53" w:rsidRPr="00C77D53">
        <w:rPr>
          <w:sz w:val="28"/>
          <w:szCs w:val="28"/>
        </w:rPr>
        <w:t xml:space="preserve"> Минусинского городского Совета депутатов от 24.05.2011 № 31-264р «Об        утверждении    Положения о местных     налогах     на     территории муниципального  образования     город Минусинск </w:t>
      </w:r>
      <w:r w:rsidR="00C77D53" w:rsidRPr="00C77D53">
        <w:rPr>
          <w:sz w:val="28"/>
        </w:rPr>
        <w:t>(в редакции решений от 02.08.2011 № 32-283р, от 30.09.2011 № 34-292р</w:t>
      </w:r>
      <w:proofErr w:type="gramEnd"/>
      <w:r w:rsidR="00C77D53" w:rsidRPr="00C77D53">
        <w:rPr>
          <w:sz w:val="28"/>
        </w:rPr>
        <w:t xml:space="preserve">, от 06.03.2013 № 8-59р, 12.11.2013 № 11-97р, 10.04.2014 № 16-136р, 01.08.2014 № 18-151р, </w:t>
      </w:r>
      <w:r w:rsidR="00C77D53" w:rsidRPr="00C77D53">
        <w:rPr>
          <w:sz w:val="28"/>
          <w:szCs w:val="28"/>
        </w:rPr>
        <w:t>25.11.2014 № 21-166р, 26.05.2015 № 26-198р, 17.05.2016 № 37-269р, 03.08.2017 № 50-364р)</w:t>
      </w:r>
      <w:r>
        <w:rPr>
          <w:sz w:val="28"/>
          <w:szCs w:val="28"/>
        </w:rPr>
        <w:t>, следующие изменения</w:t>
      </w:r>
      <w:r w:rsidR="002F5A00">
        <w:rPr>
          <w:sz w:val="28"/>
          <w:szCs w:val="28"/>
        </w:rPr>
        <w:t>:</w:t>
      </w:r>
    </w:p>
    <w:p w:rsidR="00630D77" w:rsidRDefault="00630D77" w:rsidP="005756B8">
      <w:pPr>
        <w:pStyle w:val="ab"/>
        <w:numPr>
          <w:ilvl w:val="1"/>
          <w:numId w:val="13"/>
        </w:numPr>
        <w:tabs>
          <w:tab w:val="left" w:pos="-2835"/>
          <w:tab w:val="left" w:pos="0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пункт 1.1. изложить в новой редакции</w:t>
      </w:r>
      <w:r w:rsidRPr="00630D77">
        <w:rPr>
          <w:sz w:val="28"/>
          <w:szCs w:val="28"/>
        </w:rPr>
        <w:t>:</w:t>
      </w:r>
    </w:p>
    <w:p w:rsidR="002F5A00" w:rsidRDefault="002F5A00" w:rsidP="002F5A00">
      <w:pPr>
        <w:pStyle w:val="ab"/>
        <w:numPr>
          <w:ilvl w:val="1"/>
          <w:numId w:val="8"/>
        </w:numPr>
        <w:jc w:val="center"/>
        <w:rPr>
          <w:sz w:val="28"/>
          <w:szCs w:val="28"/>
          <w:u w:val="single"/>
        </w:rPr>
      </w:pPr>
      <w:r w:rsidRPr="00D163C9">
        <w:rPr>
          <w:sz w:val="28"/>
          <w:szCs w:val="28"/>
          <w:u w:val="single"/>
        </w:rPr>
        <w:t>Ставки налога.</w:t>
      </w:r>
    </w:p>
    <w:p w:rsidR="002F5A00" w:rsidRDefault="002F5A00" w:rsidP="002F5A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Налоговая база по налогу в отношении объектов налогообложения определяется исходя из кадастровой стоимости.</w:t>
      </w:r>
    </w:p>
    <w:p w:rsidR="002F5A00" w:rsidRDefault="002F5A00" w:rsidP="002F5A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Налоговые ставки устанавливаются в следующих размерах от кадастровой стоимости: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6237"/>
        <w:gridCol w:w="2552"/>
      </w:tblGrid>
      <w:tr w:rsidR="002F5A00" w:rsidTr="00656928">
        <w:trPr>
          <w:trHeight w:val="270"/>
        </w:trPr>
        <w:tc>
          <w:tcPr>
            <w:tcW w:w="709" w:type="dxa"/>
          </w:tcPr>
          <w:p w:rsidR="002F5A00" w:rsidRDefault="002F5A00" w:rsidP="00656928">
            <w:pPr>
              <w:ind w:lef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237" w:type="dxa"/>
          </w:tcPr>
          <w:p w:rsidR="002F5A00" w:rsidRDefault="002F5A00" w:rsidP="00656928">
            <w:pPr>
              <w:ind w:lef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налогообложения</w:t>
            </w:r>
          </w:p>
        </w:tc>
        <w:tc>
          <w:tcPr>
            <w:tcW w:w="2552" w:type="dxa"/>
          </w:tcPr>
          <w:p w:rsidR="002F5A00" w:rsidRDefault="002F5A00" w:rsidP="00656928">
            <w:pPr>
              <w:ind w:lef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Налоговая ставка (в процентах)</w:t>
            </w:r>
          </w:p>
        </w:tc>
      </w:tr>
      <w:tr w:rsidR="002F5A00" w:rsidTr="00656928">
        <w:trPr>
          <w:trHeight w:val="270"/>
        </w:trPr>
        <w:tc>
          <w:tcPr>
            <w:tcW w:w="709" w:type="dxa"/>
          </w:tcPr>
          <w:p w:rsidR="002F5A00" w:rsidRDefault="002F5A00" w:rsidP="00656928">
            <w:pPr>
              <w:ind w:lef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2F5A00" w:rsidRDefault="002F5A00" w:rsidP="00656928">
            <w:pPr>
              <w:ind w:left="-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552" w:type="dxa"/>
          </w:tcPr>
          <w:p w:rsidR="002F5A00" w:rsidRDefault="002F5A00" w:rsidP="00656928">
            <w:pPr>
              <w:ind w:left="-24"/>
              <w:jc w:val="center"/>
              <w:rPr>
                <w:sz w:val="28"/>
                <w:szCs w:val="28"/>
              </w:rPr>
            </w:pPr>
          </w:p>
        </w:tc>
      </w:tr>
      <w:tr w:rsidR="002F5A00" w:rsidTr="00656928">
        <w:trPr>
          <w:trHeight w:val="270"/>
        </w:trPr>
        <w:tc>
          <w:tcPr>
            <w:tcW w:w="709" w:type="dxa"/>
          </w:tcPr>
          <w:p w:rsidR="002F5A00" w:rsidRDefault="002F5A00" w:rsidP="00656928">
            <w:pPr>
              <w:ind w:lef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6237" w:type="dxa"/>
          </w:tcPr>
          <w:p w:rsidR="002F5A00" w:rsidRDefault="002F5A00" w:rsidP="00656928">
            <w:pPr>
              <w:ind w:left="-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 (часть жилого дома)</w:t>
            </w:r>
          </w:p>
        </w:tc>
        <w:tc>
          <w:tcPr>
            <w:tcW w:w="2552" w:type="dxa"/>
          </w:tcPr>
          <w:p w:rsidR="002F5A00" w:rsidRDefault="002F5A00" w:rsidP="00656928">
            <w:pPr>
              <w:ind w:lef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2F5A00" w:rsidTr="00656928">
        <w:trPr>
          <w:trHeight w:val="270"/>
        </w:trPr>
        <w:tc>
          <w:tcPr>
            <w:tcW w:w="709" w:type="dxa"/>
          </w:tcPr>
          <w:p w:rsidR="002F5A00" w:rsidRDefault="002F5A00" w:rsidP="00656928">
            <w:pPr>
              <w:ind w:lef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6237" w:type="dxa"/>
          </w:tcPr>
          <w:p w:rsidR="002F5A00" w:rsidRDefault="002F5A00" w:rsidP="0020738C">
            <w:pPr>
              <w:ind w:left="-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(часть квартиры)</w:t>
            </w:r>
            <w:r w:rsidR="0020738C">
              <w:rPr>
                <w:sz w:val="28"/>
                <w:szCs w:val="28"/>
              </w:rPr>
              <w:t>:</w:t>
            </w:r>
          </w:p>
        </w:tc>
        <w:tc>
          <w:tcPr>
            <w:tcW w:w="2552" w:type="dxa"/>
          </w:tcPr>
          <w:p w:rsidR="002F5A00" w:rsidRDefault="002F5A00" w:rsidP="00656928">
            <w:pPr>
              <w:ind w:left="-24"/>
              <w:jc w:val="center"/>
              <w:rPr>
                <w:sz w:val="28"/>
                <w:szCs w:val="28"/>
              </w:rPr>
            </w:pPr>
          </w:p>
        </w:tc>
      </w:tr>
      <w:tr w:rsidR="002F5A00" w:rsidTr="00656928">
        <w:trPr>
          <w:trHeight w:val="270"/>
        </w:trPr>
        <w:tc>
          <w:tcPr>
            <w:tcW w:w="709" w:type="dxa"/>
          </w:tcPr>
          <w:p w:rsidR="002F5A00" w:rsidRDefault="002F5A00" w:rsidP="00656928">
            <w:pPr>
              <w:ind w:left="-24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2F5A00" w:rsidRDefault="002F5A00" w:rsidP="00656928">
            <w:pPr>
              <w:ind w:left="-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500 тыс. рублей (включительно)</w:t>
            </w:r>
          </w:p>
        </w:tc>
        <w:tc>
          <w:tcPr>
            <w:tcW w:w="2552" w:type="dxa"/>
          </w:tcPr>
          <w:p w:rsidR="002F5A00" w:rsidRDefault="002F5A00" w:rsidP="00656928">
            <w:pPr>
              <w:ind w:lef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2F5A00" w:rsidTr="00656928">
        <w:trPr>
          <w:trHeight w:val="270"/>
        </w:trPr>
        <w:tc>
          <w:tcPr>
            <w:tcW w:w="709" w:type="dxa"/>
          </w:tcPr>
          <w:p w:rsidR="002F5A00" w:rsidRDefault="002F5A00" w:rsidP="00656928">
            <w:pPr>
              <w:ind w:left="-24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2F5A00" w:rsidRDefault="002F5A00" w:rsidP="00185C91">
            <w:pPr>
              <w:ind w:left="-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500 тыс. рублей до 1 300 </w:t>
            </w:r>
            <w:r w:rsidR="00185C91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рублей (включительно)</w:t>
            </w:r>
          </w:p>
        </w:tc>
        <w:tc>
          <w:tcPr>
            <w:tcW w:w="2552" w:type="dxa"/>
          </w:tcPr>
          <w:p w:rsidR="002F5A00" w:rsidRDefault="002F5A00" w:rsidP="00656928">
            <w:pPr>
              <w:ind w:lef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0,21</w:t>
            </w:r>
          </w:p>
        </w:tc>
      </w:tr>
      <w:tr w:rsidR="002F5A00" w:rsidTr="00656928">
        <w:trPr>
          <w:trHeight w:val="270"/>
        </w:trPr>
        <w:tc>
          <w:tcPr>
            <w:tcW w:w="709" w:type="dxa"/>
          </w:tcPr>
          <w:p w:rsidR="002F5A00" w:rsidRDefault="002F5A00" w:rsidP="00656928">
            <w:pPr>
              <w:ind w:left="-24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2F5A00" w:rsidRDefault="002F5A00" w:rsidP="00185C91">
            <w:pPr>
              <w:ind w:left="-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1</w:t>
            </w:r>
            <w:r w:rsidR="00185C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300 </w:t>
            </w:r>
            <w:r w:rsidR="00185C91">
              <w:rPr>
                <w:sz w:val="28"/>
                <w:szCs w:val="28"/>
              </w:rPr>
              <w:t>тыс</w:t>
            </w:r>
            <w:r>
              <w:rPr>
                <w:sz w:val="28"/>
                <w:szCs w:val="28"/>
              </w:rPr>
              <w:t>. рублей</w:t>
            </w:r>
            <w:r w:rsidR="0020738C">
              <w:rPr>
                <w:sz w:val="28"/>
                <w:szCs w:val="28"/>
              </w:rPr>
              <w:t xml:space="preserve"> до 300 миллионов рублей (включительно);</w:t>
            </w:r>
          </w:p>
        </w:tc>
        <w:tc>
          <w:tcPr>
            <w:tcW w:w="2552" w:type="dxa"/>
          </w:tcPr>
          <w:p w:rsidR="002F5A00" w:rsidRDefault="002F5A00" w:rsidP="00656928">
            <w:pPr>
              <w:ind w:lef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2F5A00" w:rsidTr="00656928">
        <w:trPr>
          <w:trHeight w:val="270"/>
        </w:trPr>
        <w:tc>
          <w:tcPr>
            <w:tcW w:w="709" w:type="dxa"/>
          </w:tcPr>
          <w:p w:rsidR="002F5A00" w:rsidRDefault="002F5A00" w:rsidP="00656928">
            <w:pPr>
              <w:ind w:lef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6237" w:type="dxa"/>
          </w:tcPr>
          <w:p w:rsidR="002F5A00" w:rsidRDefault="002F5A00" w:rsidP="00656928">
            <w:pPr>
              <w:ind w:left="-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комната;</w:t>
            </w:r>
          </w:p>
        </w:tc>
        <w:tc>
          <w:tcPr>
            <w:tcW w:w="2552" w:type="dxa"/>
          </w:tcPr>
          <w:p w:rsidR="002F5A00" w:rsidRDefault="002F5A00" w:rsidP="00656928">
            <w:pPr>
              <w:ind w:lef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0,22</w:t>
            </w:r>
          </w:p>
        </w:tc>
      </w:tr>
      <w:tr w:rsidR="002F5A00" w:rsidTr="00656928">
        <w:trPr>
          <w:trHeight w:val="270"/>
        </w:trPr>
        <w:tc>
          <w:tcPr>
            <w:tcW w:w="709" w:type="dxa"/>
          </w:tcPr>
          <w:p w:rsidR="002F5A00" w:rsidRDefault="002F5A00" w:rsidP="00656928">
            <w:pPr>
              <w:ind w:lef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6237" w:type="dxa"/>
          </w:tcPr>
          <w:p w:rsidR="002F5A00" w:rsidRDefault="002F5A00" w:rsidP="00656928">
            <w:pPr>
              <w:ind w:left="-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552" w:type="dxa"/>
          </w:tcPr>
          <w:p w:rsidR="002F5A00" w:rsidRDefault="002F5A00" w:rsidP="00656928">
            <w:pPr>
              <w:ind w:lef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</w:tr>
      <w:tr w:rsidR="002F5A00" w:rsidTr="00656928">
        <w:trPr>
          <w:trHeight w:val="270"/>
        </w:trPr>
        <w:tc>
          <w:tcPr>
            <w:tcW w:w="709" w:type="dxa"/>
          </w:tcPr>
          <w:p w:rsidR="002F5A00" w:rsidRDefault="002F5A00" w:rsidP="00656928">
            <w:pPr>
              <w:ind w:lef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6237" w:type="dxa"/>
          </w:tcPr>
          <w:p w:rsidR="002F5A00" w:rsidRDefault="002F5A00" w:rsidP="007603AA">
            <w:pPr>
              <w:ind w:left="-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недвижимый комплекс, в состав которого входит хотя бы од</w:t>
            </w:r>
            <w:r w:rsidR="007603AA">
              <w:rPr>
                <w:sz w:val="28"/>
                <w:szCs w:val="28"/>
              </w:rPr>
              <w:t>ин жилой дом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; </w:t>
            </w:r>
          </w:p>
        </w:tc>
        <w:tc>
          <w:tcPr>
            <w:tcW w:w="2552" w:type="dxa"/>
          </w:tcPr>
          <w:p w:rsidR="002F5A00" w:rsidRDefault="002F5A00" w:rsidP="00656928">
            <w:pPr>
              <w:ind w:lef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2F5A00" w:rsidTr="00656928">
        <w:trPr>
          <w:trHeight w:val="270"/>
        </w:trPr>
        <w:tc>
          <w:tcPr>
            <w:tcW w:w="709" w:type="dxa"/>
          </w:tcPr>
          <w:p w:rsidR="002F5A00" w:rsidRDefault="002F5A00" w:rsidP="00656928">
            <w:pPr>
              <w:ind w:lef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6237" w:type="dxa"/>
          </w:tcPr>
          <w:p w:rsidR="002F5A00" w:rsidRDefault="002F5A00" w:rsidP="00656928">
            <w:pPr>
              <w:ind w:left="-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гараж, </w:t>
            </w:r>
            <w:proofErr w:type="spellStart"/>
            <w:r>
              <w:rPr>
                <w:sz w:val="28"/>
                <w:szCs w:val="28"/>
              </w:rPr>
              <w:t>машино</w:t>
            </w:r>
            <w:proofErr w:type="spellEnd"/>
            <w:r>
              <w:rPr>
                <w:sz w:val="28"/>
                <w:szCs w:val="28"/>
              </w:rPr>
              <w:t>-место;</w:t>
            </w:r>
          </w:p>
        </w:tc>
        <w:tc>
          <w:tcPr>
            <w:tcW w:w="2552" w:type="dxa"/>
          </w:tcPr>
          <w:p w:rsidR="002F5A00" w:rsidRDefault="002F5A00" w:rsidP="00656928">
            <w:pPr>
              <w:ind w:lef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</w:tr>
      <w:tr w:rsidR="002F5A00" w:rsidTr="00656928">
        <w:trPr>
          <w:trHeight w:val="270"/>
        </w:trPr>
        <w:tc>
          <w:tcPr>
            <w:tcW w:w="709" w:type="dxa"/>
          </w:tcPr>
          <w:p w:rsidR="002F5A00" w:rsidRDefault="002F5A00" w:rsidP="00656928">
            <w:pPr>
              <w:ind w:lef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6237" w:type="dxa"/>
          </w:tcPr>
          <w:p w:rsidR="002F5A00" w:rsidRDefault="002F5A00" w:rsidP="00656928">
            <w:pPr>
              <w:ind w:left="-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 предоставленном для введения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552" w:type="dxa"/>
          </w:tcPr>
          <w:p w:rsidR="002F5A00" w:rsidRDefault="00CC0EDD" w:rsidP="00656928">
            <w:pPr>
              <w:ind w:lef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2F5A00" w:rsidTr="00656928">
        <w:trPr>
          <w:trHeight w:val="270"/>
        </w:trPr>
        <w:tc>
          <w:tcPr>
            <w:tcW w:w="709" w:type="dxa"/>
          </w:tcPr>
          <w:p w:rsidR="002F5A00" w:rsidRDefault="002F5A00" w:rsidP="00656928">
            <w:pPr>
              <w:ind w:lef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2F5A00" w:rsidRDefault="002F5A00" w:rsidP="00656928">
            <w:pPr>
              <w:ind w:left="-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2552" w:type="dxa"/>
          </w:tcPr>
          <w:p w:rsidR="002F5A00" w:rsidRDefault="002F5A00" w:rsidP="00656928">
            <w:pPr>
              <w:ind w:lef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F5A00" w:rsidTr="00656928">
        <w:trPr>
          <w:trHeight w:val="270"/>
        </w:trPr>
        <w:tc>
          <w:tcPr>
            <w:tcW w:w="709" w:type="dxa"/>
          </w:tcPr>
          <w:p w:rsidR="002F5A00" w:rsidRDefault="002F5A00" w:rsidP="00656928">
            <w:pPr>
              <w:ind w:lef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2F5A00" w:rsidRDefault="002F5A00" w:rsidP="00656928">
            <w:pPr>
              <w:ind w:left="-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2552" w:type="dxa"/>
          </w:tcPr>
          <w:p w:rsidR="002F5A00" w:rsidRDefault="002F5A00" w:rsidP="00656928">
            <w:pPr>
              <w:ind w:lef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</w:tbl>
    <w:p w:rsidR="00455888" w:rsidRPr="00630D77" w:rsidRDefault="00630D77" w:rsidP="00630D7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073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пункт</w:t>
      </w:r>
      <w:r w:rsidR="002073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1.2. «Льготы по налогу» дополнить абзацами следующего содержания</w:t>
      </w:r>
      <w:r w:rsidRPr="00630D77">
        <w:rPr>
          <w:sz w:val="28"/>
          <w:szCs w:val="28"/>
        </w:rPr>
        <w:t>:</w:t>
      </w:r>
    </w:p>
    <w:p w:rsidR="002F5A00" w:rsidRDefault="00630D77" w:rsidP="002F5A0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756B8">
        <w:rPr>
          <w:sz w:val="28"/>
          <w:szCs w:val="28"/>
        </w:rPr>
        <w:t>К</w:t>
      </w:r>
      <w:r w:rsidR="0020738C">
        <w:rPr>
          <w:sz w:val="28"/>
          <w:szCs w:val="28"/>
        </w:rPr>
        <w:t>атегориям налогоплательщиков, предусмотренны</w:t>
      </w:r>
      <w:r w:rsidR="005756B8">
        <w:rPr>
          <w:sz w:val="28"/>
          <w:szCs w:val="28"/>
        </w:rPr>
        <w:t>м</w:t>
      </w:r>
      <w:r w:rsidR="0020738C">
        <w:rPr>
          <w:sz w:val="28"/>
          <w:szCs w:val="28"/>
        </w:rPr>
        <w:t xml:space="preserve">  абзацами 3-7 пункта 1.2</w:t>
      </w:r>
      <w:r w:rsidR="00A11963">
        <w:rPr>
          <w:sz w:val="28"/>
          <w:szCs w:val="28"/>
        </w:rPr>
        <w:t xml:space="preserve"> настоящего Положения,</w:t>
      </w:r>
      <w:r w:rsidR="005756B8">
        <w:rPr>
          <w:sz w:val="28"/>
          <w:szCs w:val="28"/>
        </w:rPr>
        <w:t xml:space="preserve"> налоговая льгота </w:t>
      </w:r>
      <w:r w:rsidR="002F5A00">
        <w:rPr>
          <w:sz w:val="28"/>
          <w:szCs w:val="28"/>
        </w:rPr>
        <w:t xml:space="preserve"> предоставляется в отношении следующих видов объектов налогообложения:</w:t>
      </w:r>
    </w:p>
    <w:p w:rsidR="002F5A00" w:rsidRDefault="002F5A00" w:rsidP="002F5A0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квартира (часть квартиры);</w:t>
      </w:r>
    </w:p>
    <w:p w:rsidR="002F5A00" w:rsidRDefault="002F5A00" w:rsidP="002F5A0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комната;</w:t>
      </w:r>
    </w:p>
    <w:p w:rsidR="002F5A00" w:rsidRDefault="002F5A00" w:rsidP="002F5A0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жилой дом (часть жилого дома);</w:t>
      </w:r>
    </w:p>
    <w:p w:rsidR="002F5A00" w:rsidRDefault="002F5A00" w:rsidP="00455888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гараж или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-место</w:t>
      </w:r>
      <w:proofErr w:type="gramStart"/>
      <w:r>
        <w:rPr>
          <w:sz w:val="28"/>
          <w:szCs w:val="28"/>
        </w:rPr>
        <w:t>.</w:t>
      </w:r>
      <w:r w:rsidR="00630D77">
        <w:rPr>
          <w:sz w:val="28"/>
          <w:szCs w:val="28"/>
        </w:rPr>
        <w:t>».</w:t>
      </w:r>
      <w:proofErr w:type="gramEnd"/>
    </w:p>
    <w:p w:rsidR="00155E90" w:rsidRDefault="005756B8" w:rsidP="005756B8">
      <w:pPr>
        <w:pStyle w:val="ab"/>
        <w:tabs>
          <w:tab w:val="left" w:pos="-2835"/>
          <w:tab w:val="left" w:pos="0"/>
        </w:tabs>
        <w:ind w:left="0" w:right="142"/>
        <w:jc w:val="both"/>
      </w:pPr>
      <w:r>
        <w:rPr>
          <w:sz w:val="28"/>
          <w:szCs w:val="28"/>
        </w:rPr>
        <w:t xml:space="preserve">          2.</w:t>
      </w:r>
      <w:proofErr w:type="gramStart"/>
      <w:r w:rsidR="00155E90">
        <w:rPr>
          <w:sz w:val="28"/>
          <w:szCs w:val="28"/>
        </w:rPr>
        <w:t>Контроль за</w:t>
      </w:r>
      <w:proofErr w:type="gramEnd"/>
      <w:r w:rsidR="00155E90">
        <w:rPr>
          <w:sz w:val="28"/>
          <w:szCs w:val="28"/>
        </w:rPr>
        <w:t xml:space="preserve"> выполнением решения возложить на </w:t>
      </w:r>
      <w:r>
        <w:rPr>
          <w:sz w:val="28"/>
          <w:szCs w:val="28"/>
        </w:rPr>
        <w:t xml:space="preserve">постоянную </w:t>
      </w:r>
      <w:r w:rsidR="00155E90">
        <w:rPr>
          <w:sz w:val="28"/>
          <w:szCs w:val="28"/>
        </w:rPr>
        <w:t xml:space="preserve">комиссию </w:t>
      </w:r>
      <w:r w:rsidR="00B85EF3">
        <w:rPr>
          <w:sz w:val="28"/>
          <w:szCs w:val="28"/>
        </w:rPr>
        <w:t xml:space="preserve">Минусинского городского Совета депутатов </w:t>
      </w:r>
      <w:r w:rsidR="00155E90">
        <w:rPr>
          <w:sz w:val="28"/>
          <w:szCs w:val="28"/>
        </w:rPr>
        <w:t>по бюджету, финансам и налоговой политике.</w:t>
      </w:r>
    </w:p>
    <w:p w:rsidR="00174EBB" w:rsidRDefault="005756B8" w:rsidP="005756B8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="00630D77">
        <w:rPr>
          <w:sz w:val="28"/>
          <w:szCs w:val="28"/>
        </w:rPr>
        <w:t xml:space="preserve">Решение вступает в силу по истечении одного месяца со дня его официального опубликования в печатном средстве массовой информации «Минусинск официальный», но не ранее 01.01.2019 года. </w:t>
      </w:r>
    </w:p>
    <w:p w:rsidR="00897675" w:rsidRPr="0033656F" w:rsidRDefault="00897675" w:rsidP="00A148C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5637"/>
        <w:gridCol w:w="4786"/>
      </w:tblGrid>
      <w:tr w:rsidR="009057C9" w:rsidRPr="00F33A1F" w:rsidTr="003E4E3E">
        <w:tc>
          <w:tcPr>
            <w:tcW w:w="5637" w:type="dxa"/>
            <w:shd w:val="clear" w:color="auto" w:fill="auto"/>
          </w:tcPr>
          <w:p w:rsidR="00D72447" w:rsidRDefault="00D72447" w:rsidP="005756B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Исполняющий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полномочия </w:t>
            </w:r>
          </w:p>
          <w:p w:rsidR="009057C9" w:rsidRPr="00F33A1F" w:rsidRDefault="009057C9" w:rsidP="005756B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33A1F">
              <w:rPr>
                <w:rFonts w:eastAsia="Calibri"/>
                <w:sz w:val="28"/>
                <w:szCs w:val="28"/>
                <w:lang w:eastAsia="en-US"/>
              </w:rPr>
              <w:t>Глав</w:t>
            </w:r>
            <w:r w:rsidR="003D409A">
              <w:rPr>
                <w:rFonts w:eastAsia="Calibri"/>
                <w:sz w:val="28"/>
                <w:szCs w:val="28"/>
                <w:lang w:eastAsia="en-US"/>
              </w:rPr>
              <w:t>ы</w:t>
            </w:r>
            <w:r w:rsidRPr="00F33A1F">
              <w:rPr>
                <w:rFonts w:eastAsia="Calibri"/>
                <w:sz w:val="28"/>
                <w:szCs w:val="28"/>
                <w:lang w:eastAsia="en-US"/>
              </w:rPr>
              <w:t xml:space="preserve"> города Минусинска</w:t>
            </w:r>
          </w:p>
          <w:p w:rsidR="009057C9" w:rsidRPr="00F33A1F" w:rsidRDefault="009057C9" w:rsidP="0072080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33A1F">
              <w:rPr>
                <w:rFonts w:eastAsia="Calibri"/>
                <w:sz w:val="28"/>
                <w:szCs w:val="28"/>
                <w:lang w:eastAsia="en-US"/>
              </w:rPr>
              <w:t xml:space="preserve">       </w:t>
            </w:r>
          </w:p>
          <w:p w:rsidR="009057C9" w:rsidRPr="00F33A1F" w:rsidRDefault="009057C9" w:rsidP="00D72447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406BC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="005B2EB4">
              <w:rPr>
                <w:rFonts w:eastAsia="Calibri"/>
                <w:sz w:val="28"/>
                <w:szCs w:val="28"/>
                <w:lang w:eastAsia="en-US"/>
              </w:rPr>
              <w:t xml:space="preserve">подпись       </w:t>
            </w:r>
            <w:r w:rsidR="00D72447">
              <w:rPr>
                <w:rFonts w:eastAsia="Calibri"/>
                <w:sz w:val="28"/>
                <w:szCs w:val="28"/>
                <w:lang w:eastAsia="en-US"/>
              </w:rPr>
              <w:t>В.Б. Носков</w:t>
            </w:r>
          </w:p>
        </w:tc>
        <w:tc>
          <w:tcPr>
            <w:tcW w:w="4786" w:type="dxa"/>
            <w:shd w:val="clear" w:color="auto" w:fill="auto"/>
          </w:tcPr>
          <w:p w:rsidR="009057C9" w:rsidRPr="00F33A1F" w:rsidRDefault="009057C9" w:rsidP="005756B8">
            <w:pPr>
              <w:ind w:left="34"/>
              <w:rPr>
                <w:rFonts w:eastAsia="Calibri"/>
                <w:sz w:val="28"/>
                <w:szCs w:val="28"/>
                <w:lang w:eastAsia="en-US"/>
              </w:rPr>
            </w:pPr>
            <w:r w:rsidRPr="00F33A1F">
              <w:rPr>
                <w:rFonts w:eastAsia="Calibri"/>
                <w:sz w:val="28"/>
                <w:szCs w:val="28"/>
                <w:lang w:eastAsia="en-US"/>
              </w:rPr>
              <w:t xml:space="preserve">Председатель Минусинского </w:t>
            </w:r>
            <w:r w:rsidR="003E4E3E"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  <w:r w:rsidRPr="00F33A1F">
              <w:rPr>
                <w:rFonts w:eastAsia="Calibri"/>
                <w:sz w:val="28"/>
                <w:szCs w:val="28"/>
                <w:lang w:eastAsia="en-US"/>
              </w:rPr>
              <w:t xml:space="preserve">городского Совета депутатов           </w:t>
            </w:r>
          </w:p>
          <w:p w:rsidR="009057C9" w:rsidRPr="00F33A1F" w:rsidRDefault="009057C9" w:rsidP="0072080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33A1F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            </w:t>
            </w:r>
          </w:p>
          <w:p w:rsidR="009057C9" w:rsidRPr="00F33A1F" w:rsidRDefault="009057C9" w:rsidP="003E4E3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33A1F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1406B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B2EB4"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B2EB4">
              <w:rPr>
                <w:rFonts w:eastAsia="Calibri"/>
                <w:sz w:val="28"/>
                <w:szCs w:val="28"/>
                <w:lang w:eastAsia="en-US"/>
              </w:rPr>
              <w:t>подпись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F33A1F">
              <w:rPr>
                <w:rFonts w:eastAsia="Calibri"/>
                <w:sz w:val="28"/>
                <w:szCs w:val="28"/>
                <w:lang w:eastAsia="en-US"/>
              </w:rPr>
              <w:t>Г.Г. Циплин</w:t>
            </w:r>
          </w:p>
        </w:tc>
      </w:tr>
    </w:tbl>
    <w:p w:rsidR="00D163C9" w:rsidRDefault="00D163C9" w:rsidP="0081455E">
      <w:pPr>
        <w:rPr>
          <w:sz w:val="28"/>
          <w:szCs w:val="28"/>
        </w:rPr>
      </w:pPr>
    </w:p>
    <w:sectPr w:rsidR="00D163C9" w:rsidSect="00C77D53">
      <w:footerReference w:type="even" r:id="rId9"/>
      <w:footerReference w:type="default" r:id="rId10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178" w:rsidRDefault="00314178">
      <w:r>
        <w:separator/>
      </w:r>
    </w:p>
  </w:endnote>
  <w:endnote w:type="continuationSeparator" w:id="0">
    <w:p w:rsidR="00314178" w:rsidRDefault="0031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BD7" w:rsidRDefault="00CD053B" w:rsidP="006B422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E0B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0BD7" w:rsidRDefault="00CE0BD7" w:rsidP="00B968F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BD7" w:rsidRDefault="00CE0BD7" w:rsidP="00B968F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178" w:rsidRDefault="00314178">
      <w:r>
        <w:separator/>
      </w:r>
    </w:p>
  </w:footnote>
  <w:footnote w:type="continuationSeparator" w:id="0">
    <w:p w:rsidR="00314178" w:rsidRDefault="00314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5BD0"/>
    <w:multiLevelType w:val="hybridMultilevel"/>
    <w:tmpl w:val="6D18A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B1B27"/>
    <w:multiLevelType w:val="hybridMultilevel"/>
    <w:tmpl w:val="092634F8"/>
    <w:lvl w:ilvl="0" w:tplc="69101B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E423014">
      <w:numFmt w:val="none"/>
      <w:lvlText w:val=""/>
      <w:lvlJc w:val="left"/>
      <w:pPr>
        <w:tabs>
          <w:tab w:val="num" w:pos="360"/>
        </w:tabs>
      </w:pPr>
    </w:lvl>
    <w:lvl w:ilvl="2" w:tplc="C84A6F9E">
      <w:numFmt w:val="none"/>
      <w:lvlText w:val=""/>
      <w:lvlJc w:val="left"/>
      <w:pPr>
        <w:tabs>
          <w:tab w:val="num" w:pos="360"/>
        </w:tabs>
      </w:pPr>
    </w:lvl>
    <w:lvl w:ilvl="3" w:tplc="7BEEDA8C">
      <w:numFmt w:val="none"/>
      <w:lvlText w:val=""/>
      <w:lvlJc w:val="left"/>
      <w:pPr>
        <w:tabs>
          <w:tab w:val="num" w:pos="360"/>
        </w:tabs>
      </w:pPr>
    </w:lvl>
    <w:lvl w:ilvl="4" w:tplc="B01A76E8">
      <w:numFmt w:val="none"/>
      <w:lvlText w:val=""/>
      <w:lvlJc w:val="left"/>
      <w:pPr>
        <w:tabs>
          <w:tab w:val="num" w:pos="360"/>
        </w:tabs>
      </w:pPr>
    </w:lvl>
    <w:lvl w:ilvl="5" w:tplc="FC749176">
      <w:numFmt w:val="none"/>
      <w:lvlText w:val=""/>
      <w:lvlJc w:val="left"/>
      <w:pPr>
        <w:tabs>
          <w:tab w:val="num" w:pos="360"/>
        </w:tabs>
      </w:pPr>
    </w:lvl>
    <w:lvl w:ilvl="6" w:tplc="E7288200">
      <w:numFmt w:val="none"/>
      <w:lvlText w:val=""/>
      <w:lvlJc w:val="left"/>
      <w:pPr>
        <w:tabs>
          <w:tab w:val="num" w:pos="360"/>
        </w:tabs>
      </w:pPr>
    </w:lvl>
    <w:lvl w:ilvl="7" w:tplc="A1BC5B48">
      <w:numFmt w:val="none"/>
      <w:lvlText w:val=""/>
      <w:lvlJc w:val="left"/>
      <w:pPr>
        <w:tabs>
          <w:tab w:val="num" w:pos="360"/>
        </w:tabs>
      </w:pPr>
    </w:lvl>
    <w:lvl w:ilvl="8" w:tplc="3B9429C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9487291"/>
    <w:multiLevelType w:val="multilevel"/>
    <w:tmpl w:val="D8D27C38"/>
    <w:lvl w:ilvl="0">
      <w:start w:val="1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2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26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10" w:hanging="12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72" w:hanging="1800"/>
      </w:pPr>
      <w:rPr>
        <w:rFonts w:hint="default"/>
      </w:rPr>
    </w:lvl>
  </w:abstractNum>
  <w:abstractNum w:abstractNumId="3">
    <w:nsid w:val="2D350896"/>
    <w:multiLevelType w:val="hybridMultilevel"/>
    <w:tmpl w:val="B9C8C0DC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>
    <w:nsid w:val="30EA434F"/>
    <w:multiLevelType w:val="multilevel"/>
    <w:tmpl w:val="40F465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3F321BED"/>
    <w:multiLevelType w:val="multilevel"/>
    <w:tmpl w:val="B1C455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5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6">
    <w:nsid w:val="41674D93"/>
    <w:multiLevelType w:val="multilevel"/>
    <w:tmpl w:val="45AA1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7">
    <w:nsid w:val="4D4B69E7"/>
    <w:multiLevelType w:val="multilevel"/>
    <w:tmpl w:val="517EE34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8">
    <w:nsid w:val="54BC79E8"/>
    <w:multiLevelType w:val="multilevel"/>
    <w:tmpl w:val="387429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F23152B"/>
    <w:multiLevelType w:val="hybridMultilevel"/>
    <w:tmpl w:val="D9B0E2C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6E7D02AA"/>
    <w:multiLevelType w:val="multilevel"/>
    <w:tmpl w:val="40F465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>
    <w:nsid w:val="6F6F4273"/>
    <w:multiLevelType w:val="multilevel"/>
    <w:tmpl w:val="EB2A575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1B7538C"/>
    <w:multiLevelType w:val="multilevel"/>
    <w:tmpl w:val="DF06688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12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7"/>
  </w:num>
  <w:num w:numId="11">
    <w:abstractNumId w:val="1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83"/>
    <w:rsid w:val="00007532"/>
    <w:rsid w:val="000123A4"/>
    <w:rsid w:val="00012430"/>
    <w:rsid w:val="0002444D"/>
    <w:rsid w:val="00026E75"/>
    <w:rsid w:val="00036271"/>
    <w:rsid w:val="00044AF7"/>
    <w:rsid w:val="00054B23"/>
    <w:rsid w:val="00074FFE"/>
    <w:rsid w:val="00091C45"/>
    <w:rsid w:val="000931D3"/>
    <w:rsid w:val="000A607E"/>
    <w:rsid w:val="000A7A84"/>
    <w:rsid w:val="000B0F73"/>
    <w:rsid w:val="000B356C"/>
    <w:rsid w:val="000B5F80"/>
    <w:rsid w:val="000C7913"/>
    <w:rsid w:val="000D2E2E"/>
    <w:rsid w:val="000D363F"/>
    <w:rsid w:val="000D5E54"/>
    <w:rsid w:val="000E5742"/>
    <w:rsid w:val="00103177"/>
    <w:rsid w:val="001037FB"/>
    <w:rsid w:val="001065CE"/>
    <w:rsid w:val="0012338E"/>
    <w:rsid w:val="00124CC0"/>
    <w:rsid w:val="001315D2"/>
    <w:rsid w:val="00132E55"/>
    <w:rsid w:val="001406BC"/>
    <w:rsid w:val="0014130D"/>
    <w:rsid w:val="00143535"/>
    <w:rsid w:val="00147A9C"/>
    <w:rsid w:val="00155E90"/>
    <w:rsid w:val="00163A44"/>
    <w:rsid w:val="00171E2B"/>
    <w:rsid w:val="00174EBB"/>
    <w:rsid w:val="00180EAC"/>
    <w:rsid w:val="00185C91"/>
    <w:rsid w:val="00194311"/>
    <w:rsid w:val="001A0A92"/>
    <w:rsid w:val="001A6335"/>
    <w:rsid w:val="001B364B"/>
    <w:rsid w:val="001C4534"/>
    <w:rsid w:val="001D30A4"/>
    <w:rsid w:val="001E1FB3"/>
    <w:rsid w:val="001F6DE1"/>
    <w:rsid w:val="00202562"/>
    <w:rsid w:val="0020738C"/>
    <w:rsid w:val="002113F7"/>
    <w:rsid w:val="00212F6D"/>
    <w:rsid w:val="002233B2"/>
    <w:rsid w:val="0024251D"/>
    <w:rsid w:val="00244E1C"/>
    <w:rsid w:val="00245337"/>
    <w:rsid w:val="0026718C"/>
    <w:rsid w:val="00267AAE"/>
    <w:rsid w:val="002725C9"/>
    <w:rsid w:val="002839EB"/>
    <w:rsid w:val="002860DB"/>
    <w:rsid w:val="002956CB"/>
    <w:rsid w:val="002A5F81"/>
    <w:rsid w:val="002D3AD9"/>
    <w:rsid w:val="002D66D7"/>
    <w:rsid w:val="002D73CE"/>
    <w:rsid w:val="002F388C"/>
    <w:rsid w:val="002F5A00"/>
    <w:rsid w:val="00314178"/>
    <w:rsid w:val="003238F9"/>
    <w:rsid w:val="00324C71"/>
    <w:rsid w:val="00324E7C"/>
    <w:rsid w:val="0032697C"/>
    <w:rsid w:val="00331322"/>
    <w:rsid w:val="0033656F"/>
    <w:rsid w:val="00342A33"/>
    <w:rsid w:val="003671E2"/>
    <w:rsid w:val="00396792"/>
    <w:rsid w:val="003A2F39"/>
    <w:rsid w:val="003B32C8"/>
    <w:rsid w:val="003B5321"/>
    <w:rsid w:val="003D11EC"/>
    <w:rsid w:val="003D409A"/>
    <w:rsid w:val="003E4E3E"/>
    <w:rsid w:val="003F1679"/>
    <w:rsid w:val="0040259B"/>
    <w:rsid w:val="004138AE"/>
    <w:rsid w:val="004343D5"/>
    <w:rsid w:val="00434DCF"/>
    <w:rsid w:val="004405D9"/>
    <w:rsid w:val="004522F0"/>
    <w:rsid w:val="00455888"/>
    <w:rsid w:val="0045694A"/>
    <w:rsid w:val="004630D3"/>
    <w:rsid w:val="00472F21"/>
    <w:rsid w:val="0049331D"/>
    <w:rsid w:val="004C0280"/>
    <w:rsid w:val="004C3B2F"/>
    <w:rsid w:val="004E24A8"/>
    <w:rsid w:val="004F0E2C"/>
    <w:rsid w:val="004F2C41"/>
    <w:rsid w:val="004F2CC2"/>
    <w:rsid w:val="0053003D"/>
    <w:rsid w:val="00530749"/>
    <w:rsid w:val="005402E1"/>
    <w:rsid w:val="00547DC8"/>
    <w:rsid w:val="005756B8"/>
    <w:rsid w:val="00586121"/>
    <w:rsid w:val="0059317D"/>
    <w:rsid w:val="005B2EB4"/>
    <w:rsid w:val="005E5EE2"/>
    <w:rsid w:val="005E7492"/>
    <w:rsid w:val="005F73AC"/>
    <w:rsid w:val="00606880"/>
    <w:rsid w:val="00607522"/>
    <w:rsid w:val="00620F5B"/>
    <w:rsid w:val="0062175A"/>
    <w:rsid w:val="0062240A"/>
    <w:rsid w:val="00630D77"/>
    <w:rsid w:val="00635876"/>
    <w:rsid w:val="0063592C"/>
    <w:rsid w:val="00644E83"/>
    <w:rsid w:val="00660D0B"/>
    <w:rsid w:val="00681FFE"/>
    <w:rsid w:val="00693F7C"/>
    <w:rsid w:val="006B4224"/>
    <w:rsid w:val="006B4653"/>
    <w:rsid w:val="006B5748"/>
    <w:rsid w:val="006C7057"/>
    <w:rsid w:val="006D479C"/>
    <w:rsid w:val="007001C7"/>
    <w:rsid w:val="00711465"/>
    <w:rsid w:val="00720801"/>
    <w:rsid w:val="00720849"/>
    <w:rsid w:val="007303A5"/>
    <w:rsid w:val="00745F24"/>
    <w:rsid w:val="00750D16"/>
    <w:rsid w:val="007551FE"/>
    <w:rsid w:val="007603AA"/>
    <w:rsid w:val="00770F85"/>
    <w:rsid w:val="00792E87"/>
    <w:rsid w:val="00797B4E"/>
    <w:rsid w:val="007A0C45"/>
    <w:rsid w:val="007A4CD7"/>
    <w:rsid w:val="007A7840"/>
    <w:rsid w:val="007B7204"/>
    <w:rsid w:val="007E1928"/>
    <w:rsid w:val="007E6B00"/>
    <w:rsid w:val="007F1CB9"/>
    <w:rsid w:val="0081455E"/>
    <w:rsid w:val="00834F4F"/>
    <w:rsid w:val="00835F86"/>
    <w:rsid w:val="00840CA2"/>
    <w:rsid w:val="00864866"/>
    <w:rsid w:val="008762FC"/>
    <w:rsid w:val="00893F3B"/>
    <w:rsid w:val="00897675"/>
    <w:rsid w:val="008A4614"/>
    <w:rsid w:val="008E07FF"/>
    <w:rsid w:val="008F6719"/>
    <w:rsid w:val="00901F6D"/>
    <w:rsid w:val="00903208"/>
    <w:rsid w:val="009057C9"/>
    <w:rsid w:val="009506E0"/>
    <w:rsid w:val="009533A2"/>
    <w:rsid w:val="00953520"/>
    <w:rsid w:val="0096272A"/>
    <w:rsid w:val="0097089D"/>
    <w:rsid w:val="00975D8A"/>
    <w:rsid w:val="009A13F9"/>
    <w:rsid w:val="009B42D8"/>
    <w:rsid w:val="009B7E5A"/>
    <w:rsid w:val="009C6753"/>
    <w:rsid w:val="009D415E"/>
    <w:rsid w:val="009D416E"/>
    <w:rsid w:val="009E272B"/>
    <w:rsid w:val="00A0176C"/>
    <w:rsid w:val="00A11963"/>
    <w:rsid w:val="00A148C0"/>
    <w:rsid w:val="00A16B45"/>
    <w:rsid w:val="00A24AB5"/>
    <w:rsid w:val="00A32423"/>
    <w:rsid w:val="00A40161"/>
    <w:rsid w:val="00A53700"/>
    <w:rsid w:val="00A63F54"/>
    <w:rsid w:val="00A702EC"/>
    <w:rsid w:val="00A75902"/>
    <w:rsid w:val="00AA0A4C"/>
    <w:rsid w:val="00AB0126"/>
    <w:rsid w:val="00AB0B98"/>
    <w:rsid w:val="00AB1047"/>
    <w:rsid w:val="00AB63EC"/>
    <w:rsid w:val="00AC591A"/>
    <w:rsid w:val="00AD5376"/>
    <w:rsid w:val="00AD730D"/>
    <w:rsid w:val="00AF0EE4"/>
    <w:rsid w:val="00AF7D40"/>
    <w:rsid w:val="00B13A29"/>
    <w:rsid w:val="00B27FE0"/>
    <w:rsid w:val="00B361F4"/>
    <w:rsid w:val="00B42931"/>
    <w:rsid w:val="00B56649"/>
    <w:rsid w:val="00B610E0"/>
    <w:rsid w:val="00B6528B"/>
    <w:rsid w:val="00B661DA"/>
    <w:rsid w:val="00B67DCB"/>
    <w:rsid w:val="00B81BBB"/>
    <w:rsid w:val="00B85EF3"/>
    <w:rsid w:val="00B86555"/>
    <w:rsid w:val="00B92AC5"/>
    <w:rsid w:val="00B968F7"/>
    <w:rsid w:val="00B97B12"/>
    <w:rsid w:val="00BA5698"/>
    <w:rsid w:val="00BB4D99"/>
    <w:rsid w:val="00BD24BC"/>
    <w:rsid w:val="00BF4247"/>
    <w:rsid w:val="00C04651"/>
    <w:rsid w:val="00C047FE"/>
    <w:rsid w:val="00C15A32"/>
    <w:rsid w:val="00C20E91"/>
    <w:rsid w:val="00C22A18"/>
    <w:rsid w:val="00C317D7"/>
    <w:rsid w:val="00C36AD2"/>
    <w:rsid w:val="00C36F80"/>
    <w:rsid w:val="00C42E94"/>
    <w:rsid w:val="00C4624E"/>
    <w:rsid w:val="00C74CCB"/>
    <w:rsid w:val="00C76091"/>
    <w:rsid w:val="00C7674E"/>
    <w:rsid w:val="00C76DA6"/>
    <w:rsid w:val="00C77D53"/>
    <w:rsid w:val="00C85950"/>
    <w:rsid w:val="00C93A9E"/>
    <w:rsid w:val="00C96AB6"/>
    <w:rsid w:val="00CA4A56"/>
    <w:rsid w:val="00CB72A3"/>
    <w:rsid w:val="00CC05FB"/>
    <w:rsid w:val="00CC0EDD"/>
    <w:rsid w:val="00CC7082"/>
    <w:rsid w:val="00CD053B"/>
    <w:rsid w:val="00CD2B3F"/>
    <w:rsid w:val="00CE0BD7"/>
    <w:rsid w:val="00D163C9"/>
    <w:rsid w:val="00D20E99"/>
    <w:rsid w:val="00D2100B"/>
    <w:rsid w:val="00D25915"/>
    <w:rsid w:val="00D277DB"/>
    <w:rsid w:val="00D55079"/>
    <w:rsid w:val="00D64613"/>
    <w:rsid w:val="00D72447"/>
    <w:rsid w:val="00D74D0E"/>
    <w:rsid w:val="00D87043"/>
    <w:rsid w:val="00D87145"/>
    <w:rsid w:val="00D9778F"/>
    <w:rsid w:val="00DA6345"/>
    <w:rsid w:val="00DB26BC"/>
    <w:rsid w:val="00DB2A89"/>
    <w:rsid w:val="00DC7CB4"/>
    <w:rsid w:val="00DE23BD"/>
    <w:rsid w:val="00DF78DD"/>
    <w:rsid w:val="00E27C59"/>
    <w:rsid w:val="00E31410"/>
    <w:rsid w:val="00E371EE"/>
    <w:rsid w:val="00E379B5"/>
    <w:rsid w:val="00E73764"/>
    <w:rsid w:val="00E7437F"/>
    <w:rsid w:val="00E974C2"/>
    <w:rsid w:val="00EA4F6B"/>
    <w:rsid w:val="00EB22B2"/>
    <w:rsid w:val="00EB4A87"/>
    <w:rsid w:val="00EC448A"/>
    <w:rsid w:val="00F110F1"/>
    <w:rsid w:val="00F11751"/>
    <w:rsid w:val="00F11B39"/>
    <w:rsid w:val="00F11E2D"/>
    <w:rsid w:val="00F1466D"/>
    <w:rsid w:val="00F25114"/>
    <w:rsid w:val="00F30374"/>
    <w:rsid w:val="00FA3290"/>
    <w:rsid w:val="00FC1162"/>
    <w:rsid w:val="00FE5E2C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3290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9506E0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3">
    <w:name w:val="heading 3"/>
    <w:basedOn w:val="a"/>
    <w:next w:val="a"/>
    <w:qFormat/>
    <w:rsid w:val="009506E0"/>
    <w:pPr>
      <w:keepNext/>
      <w:ind w:right="-108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3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A3290"/>
    <w:pPr>
      <w:autoSpaceDE w:val="0"/>
      <w:autoSpaceDN w:val="0"/>
      <w:adjustRightInd w:val="0"/>
      <w:ind w:right="19772" w:firstLine="720"/>
    </w:pPr>
    <w:rPr>
      <w:rFonts w:ascii="Arial" w:hAnsi="Arial" w:cs="Arial"/>
      <w:lang w:eastAsia="ko-KR"/>
    </w:rPr>
  </w:style>
  <w:style w:type="paragraph" w:styleId="a4">
    <w:name w:val="footer"/>
    <w:basedOn w:val="a"/>
    <w:rsid w:val="00B968F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968F7"/>
  </w:style>
  <w:style w:type="paragraph" w:styleId="a6">
    <w:name w:val="Balloon Text"/>
    <w:basedOn w:val="a"/>
    <w:semiHidden/>
    <w:rsid w:val="00C15A3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CA4A5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ko-KR"/>
    </w:rPr>
  </w:style>
  <w:style w:type="paragraph" w:styleId="a7">
    <w:name w:val="header"/>
    <w:basedOn w:val="a"/>
    <w:link w:val="a8"/>
    <w:rsid w:val="00E27C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E27C59"/>
    <w:rPr>
      <w:sz w:val="24"/>
      <w:szCs w:val="24"/>
    </w:rPr>
  </w:style>
  <w:style w:type="paragraph" w:styleId="a9">
    <w:name w:val="Title"/>
    <w:basedOn w:val="a"/>
    <w:next w:val="a"/>
    <w:link w:val="aa"/>
    <w:qFormat/>
    <w:rsid w:val="00B92AC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B92AC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List Paragraph"/>
    <w:basedOn w:val="a"/>
    <w:uiPriority w:val="34"/>
    <w:qFormat/>
    <w:rsid w:val="00463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3290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9506E0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3">
    <w:name w:val="heading 3"/>
    <w:basedOn w:val="a"/>
    <w:next w:val="a"/>
    <w:qFormat/>
    <w:rsid w:val="009506E0"/>
    <w:pPr>
      <w:keepNext/>
      <w:ind w:right="-108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3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A3290"/>
    <w:pPr>
      <w:autoSpaceDE w:val="0"/>
      <w:autoSpaceDN w:val="0"/>
      <w:adjustRightInd w:val="0"/>
      <w:ind w:right="19772" w:firstLine="720"/>
    </w:pPr>
    <w:rPr>
      <w:rFonts w:ascii="Arial" w:hAnsi="Arial" w:cs="Arial"/>
      <w:lang w:eastAsia="ko-KR"/>
    </w:rPr>
  </w:style>
  <w:style w:type="paragraph" w:styleId="a4">
    <w:name w:val="footer"/>
    <w:basedOn w:val="a"/>
    <w:rsid w:val="00B968F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968F7"/>
  </w:style>
  <w:style w:type="paragraph" w:styleId="a6">
    <w:name w:val="Balloon Text"/>
    <w:basedOn w:val="a"/>
    <w:semiHidden/>
    <w:rsid w:val="00C15A3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CA4A5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ko-KR"/>
    </w:rPr>
  </w:style>
  <w:style w:type="paragraph" w:styleId="a7">
    <w:name w:val="header"/>
    <w:basedOn w:val="a"/>
    <w:link w:val="a8"/>
    <w:rsid w:val="00E27C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E27C59"/>
    <w:rPr>
      <w:sz w:val="24"/>
      <w:szCs w:val="24"/>
    </w:rPr>
  </w:style>
  <w:style w:type="paragraph" w:styleId="a9">
    <w:name w:val="Title"/>
    <w:basedOn w:val="a"/>
    <w:next w:val="a"/>
    <w:link w:val="aa"/>
    <w:qFormat/>
    <w:rsid w:val="00B92AC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B92AC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List Paragraph"/>
    <w:basedOn w:val="a"/>
    <w:uiPriority w:val="34"/>
    <w:qFormat/>
    <w:rsid w:val="00463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2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44C60-9A31-4ECB-A292-418C48C0C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471</Words>
  <Characters>7420</Characters>
  <Application>Microsoft Office Word</Application>
  <DocSecurity>0</DocSecurity>
  <Lines>61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об оплате  труда депутатов, выборных должностных лиц, осуществляющих свои полномочия на постоянной ос</vt:lpstr>
    </vt:vector>
  </TitlesOfParts>
  <Company>Адмн</Company>
  <LinksUpToDate>false</LinksUpToDate>
  <CharactersWithSpaces>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об оплате  труда депутатов, выборных должностных лиц, осуществляющих свои полномочия на постоянной ос</dc:title>
  <dc:creator>Экон</dc:creator>
  <cp:lastModifiedBy>user</cp:lastModifiedBy>
  <cp:revision>26</cp:revision>
  <cp:lastPrinted>2018-11-22T01:48:00Z</cp:lastPrinted>
  <dcterms:created xsi:type="dcterms:W3CDTF">2018-11-20T06:17:00Z</dcterms:created>
  <dcterms:modified xsi:type="dcterms:W3CDTF">2018-11-29T02:32:00Z</dcterms:modified>
</cp:coreProperties>
</file>