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9E" w:rsidRDefault="00E04C9E" w:rsidP="00E04C9E">
      <w:pPr>
        <w:jc w:val="center"/>
        <w:rPr>
          <w:sz w:val="28"/>
          <w:szCs w:val="28"/>
        </w:rPr>
      </w:pPr>
      <w:r>
        <w:rPr>
          <w:sz w:val="28"/>
          <w:szCs w:val="28"/>
        </w:rPr>
        <w:t>РОССИЙСКАЯ ФЕДЕРАЦИЯ</w:t>
      </w:r>
    </w:p>
    <w:p w:rsidR="00E04C9E" w:rsidRDefault="00E04C9E" w:rsidP="00E04C9E">
      <w:pPr>
        <w:jc w:val="center"/>
        <w:rPr>
          <w:sz w:val="28"/>
          <w:szCs w:val="28"/>
        </w:rPr>
      </w:pPr>
      <w:r>
        <w:rPr>
          <w:sz w:val="28"/>
          <w:szCs w:val="28"/>
        </w:rPr>
        <w:t>КРАСНОЯРСКИЙ КРАЙ</w:t>
      </w:r>
    </w:p>
    <w:p w:rsidR="00E04C9E" w:rsidRDefault="00E04C9E" w:rsidP="00E04C9E">
      <w:pPr>
        <w:jc w:val="center"/>
        <w:rPr>
          <w:sz w:val="28"/>
          <w:szCs w:val="28"/>
        </w:rPr>
      </w:pPr>
      <w:r>
        <w:rPr>
          <w:sz w:val="28"/>
          <w:szCs w:val="28"/>
        </w:rPr>
        <w:t>МУНИЦИПАЛЬНОЕ ОБРАЗОВАНИЕ ГОРОД МИНУСИНСК</w:t>
      </w:r>
    </w:p>
    <w:p w:rsidR="00E04C9E" w:rsidRDefault="00E04C9E" w:rsidP="00E04C9E">
      <w:pPr>
        <w:jc w:val="center"/>
        <w:rPr>
          <w:sz w:val="28"/>
          <w:szCs w:val="28"/>
        </w:rPr>
      </w:pPr>
      <w:r>
        <w:rPr>
          <w:sz w:val="28"/>
          <w:szCs w:val="28"/>
        </w:rPr>
        <w:t>МИНУСИНСКИЙ ГОРОДСКОЙ СОВЕТ ДЕПУТАТОВ</w:t>
      </w:r>
    </w:p>
    <w:p w:rsidR="00E04C9E" w:rsidRDefault="00E04C9E" w:rsidP="00E04C9E">
      <w:pPr>
        <w:jc w:val="center"/>
        <w:rPr>
          <w:sz w:val="28"/>
          <w:szCs w:val="28"/>
        </w:rPr>
      </w:pPr>
    </w:p>
    <w:p w:rsidR="00E04C9E" w:rsidRDefault="00E04C9E" w:rsidP="00E04C9E">
      <w:pPr>
        <w:jc w:val="center"/>
        <w:rPr>
          <w:sz w:val="22"/>
        </w:rPr>
      </w:pPr>
    </w:p>
    <w:p w:rsidR="00E04C9E" w:rsidRPr="00FA5A5D" w:rsidRDefault="00E04C9E" w:rsidP="00E04C9E">
      <w:pPr>
        <w:ind w:right="-185"/>
        <w:jc w:val="center"/>
        <w:rPr>
          <w:b/>
          <w:spacing w:val="60"/>
          <w:sz w:val="48"/>
          <w:szCs w:val="48"/>
        </w:rPr>
      </w:pPr>
      <w:r w:rsidRPr="00FA5A5D">
        <w:rPr>
          <w:b/>
          <w:spacing w:val="60"/>
          <w:sz w:val="48"/>
          <w:szCs w:val="48"/>
        </w:rPr>
        <w:t>РЕШЕНИЕ</w:t>
      </w:r>
    </w:p>
    <w:p w:rsidR="00E04C9E" w:rsidRDefault="00E04C9E" w:rsidP="00E04C9E">
      <w:pPr>
        <w:ind w:right="-185"/>
        <w:jc w:val="center"/>
        <w:rPr>
          <w:spacing w:val="60"/>
          <w:sz w:val="44"/>
          <w:szCs w:val="44"/>
        </w:rPr>
      </w:pPr>
    </w:p>
    <w:p w:rsidR="00E04C9E" w:rsidRDefault="00E04C9E" w:rsidP="00E04C9E">
      <w:pPr>
        <w:rPr>
          <w:sz w:val="28"/>
          <w:szCs w:val="28"/>
        </w:rPr>
      </w:pPr>
      <w:r>
        <w:rPr>
          <w:sz w:val="28"/>
          <w:szCs w:val="28"/>
        </w:rPr>
        <w:t xml:space="preserve">         07.02.2018                                                                                         №6-42р</w:t>
      </w:r>
    </w:p>
    <w:p w:rsidR="00E04C9E" w:rsidRDefault="00E04C9E" w:rsidP="00E04C9E">
      <w:pPr>
        <w:jc w:val="center"/>
        <w:rPr>
          <w:b/>
          <w:sz w:val="28"/>
          <w:szCs w:val="28"/>
        </w:rPr>
      </w:pPr>
    </w:p>
    <w:p w:rsidR="00E04C9E" w:rsidRDefault="00E04C9E" w:rsidP="00E04C9E">
      <w:pPr>
        <w:jc w:val="center"/>
        <w:rPr>
          <w:b/>
          <w:sz w:val="28"/>
          <w:szCs w:val="28"/>
        </w:rPr>
      </w:pPr>
      <w:r>
        <w:rPr>
          <w:b/>
          <w:sz w:val="28"/>
          <w:szCs w:val="28"/>
        </w:rPr>
        <w:t>Об утверждении стоимости услуг, предоставляемых согласно    гарантированному перечню услуг по погребению, возмещаемых специализированной службе по вопросам похоронного дела муниципальному  унитарному  предприятию города Минусинска «Минусинское городское хозяйство» за счет средств  Пенсионного фонда Российской Федерации, федерального бюджета, Фонда социального страхования Российской Федерации</w:t>
      </w:r>
    </w:p>
    <w:p w:rsidR="00E04C9E" w:rsidRDefault="00E04C9E" w:rsidP="00E04C9E">
      <w:pPr>
        <w:jc w:val="center"/>
        <w:rPr>
          <w:b/>
          <w:sz w:val="28"/>
          <w:szCs w:val="28"/>
        </w:rPr>
      </w:pPr>
    </w:p>
    <w:p w:rsidR="00E04C9E" w:rsidRDefault="00E04C9E" w:rsidP="00E04C9E">
      <w:pPr>
        <w:jc w:val="both"/>
        <w:rPr>
          <w:sz w:val="28"/>
          <w:szCs w:val="28"/>
        </w:rPr>
      </w:pPr>
    </w:p>
    <w:p w:rsidR="00E04C9E" w:rsidRDefault="00E04C9E" w:rsidP="00E04C9E">
      <w:pPr>
        <w:widowControl w:val="0"/>
        <w:autoSpaceDE w:val="0"/>
        <w:autoSpaceDN w:val="0"/>
        <w:adjustRightInd w:val="0"/>
        <w:jc w:val="both"/>
        <w:rPr>
          <w:sz w:val="28"/>
          <w:szCs w:val="28"/>
        </w:rPr>
      </w:pPr>
      <w:r>
        <w:rPr>
          <w:sz w:val="28"/>
          <w:szCs w:val="28"/>
        </w:rPr>
        <w:t xml:space="preserve"> </w:t>
      </w:r>
      <w:r>
        <w:rPr>
          <w:sz w:val="28"/>
          <w:szCs w:val="28"/>
        </w:rPr>
        <w:tab/>
        <w:t xml:space="preserve">В  соответствии с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постановлением Правительства РФ от 26.01.2018 № 74 «Об утверждении  коэффициента  индексации  выплат, пособий и компенсаций в 2018 году», Уставом городского округа - город Минусинск, Минусинский городской Совет депутатов  РЕШИЛ: </w:t>
      </w:r>
    </w:p>
    <w:p w:rsidR="00E04C9E" w:rsidRDefault="00E04C9E" w:rsidP="00E04C9E">
      <w:pPr>
        <w:widowControl w:val="0"/>
        <w:autoSpaceDE w:val="0"/>
        <w:autoSpaceDN w:val="0"/>
        <w:adjustRightInd w:val="0"/>
        <w:ind w:firstLine="708"/>
        <w:jc w:val="both"/>
        <w:rPr>
          <w:sz w:val="28"/>
          <w:szCs w:val="28"/>
        </w:rPr>
      </w:pPr>
      <w:r>
        <w:rPr>
          <w:sz w:val="28"/>
          <w:szCs w:val="28"/>
        </w:rPr>
        <w:t xml:space="preserve">1. Утвердить стоимость услуг, предоставляемых согласно гарантированному перечню услуг по погребению, возмещаемых специализированной службе по вопросам похоронного дела муниципальному унитарному предприятию города Минусинска «Минусинское городское хозяйство»  за счет средств Пенсионного фонда Российской Федерации,  федерального бюджета, Фонда социального страхования Российской Федерации, согласно приложению. </w:t>
      </w:r>
    </w:p>
    <w:p w:rsidR="00E04C9E" w:rsidRDefault="00E04C9E" w:rsidP="00E04C9E">
      <w:pPr>
        <w:ind w:firstLine="708"/>
        <w:jc w:val="both"/>
        <w:rPr>
          <w:sz w:val="28"/>
          <w:szCs w:val="28"/>
        </w:rPr>
      </w:pPr>
      <w:r>
        <w:rPr>
          <w:sz w:val="28"/>
          <w:szCs w:val="28"/>
        </w:rPr>
        <w:t xml:space="preserve">2. </w:t>
      </w:r>
      <w:proofErr w:type="gramStart"/>
      <w:r>
        <w:rPr>
          <w:sz w:val="28"/>
          <w:szCs w:val="28"/>
        </w:rPr>
        <w:t>Признать утратившим силу решение Минусинского городского Совета депутатов от 21.02.2017  № 45-329р  «Об утверждении стоимости услуг, предоставляемых согласно гарантированному перечню услуг по погребению, возмещаемых специализированной службе по вопросам похоронного дела муниципальному  унитарному  предприятию города Минусинска «Минусинское городское хозяйство» за счет средств  Пенсионного фонда Российской Федерации, федерального бюджета, Фонда социального страхования Российской Федерации».</w:t>
      </w:r>
      <w:proofErr w:type="gramEnd"/>
    </w:p>
    <w:p w:rsidR="00E04C9E" w:rsidRDefault="00E04C9E" w:rsidP="00E04C9E">
      <w:pPr>
        <w:widowControl w:val="0"/>
        <w:autoSpaceDE w:val="0"/>
        <w:autoSpaceDN w:val="0"/>
        <w:adjustRightInd w:val="0"/>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решения возложить на комиссию по бюджету, финансам и налоговой политике Минусинского  городского Совета депутатов. </w:t>
      </w:r>
    </w:p>
    <w:p w:rsidR="00E04C9E" w:rsidRDefault="00E04C9E" w:rsidP="00E04C9E">
      <w:pPr>
        <w:widowControl w:val="0"/>
        <w:autoSpaceDE w:val="0"/>
        <w:autoSpaceDN w:val="0"/>
        <w:adjustRightInd w:val="0"/>
        <w:ind w:firstLine="708"/>
        <w:jc w:val="both"/>
        <w:rPr>
          <w:sz w:val="28"/>
          <w:szCs w:val="28"/>
        </w:rPr>
      </w:pPr>
      <w:r>
        <w:rPr>
          <w:sz w:val="28"/>
          <w:szCs w:val="28"/>
        </w:rPr>
        <w:t xml:space="preserve">4. Решение вступает в силу в день, следующий за днем его официального </w:t>
      </w:r>
      <w:r>
        <w:rPr>
          <w:sz w:val="28"/>
          <w:szCs w:val="28"/>
        </w:rPr>
        <w:lastRenderedPageBreak/>
        <w:t xml:space="preserve">опубликования в печатном средстве массовой информации «Минусинск официальный» и распространяет свое действие на правоотношения, возникшие с 01 февраля 2018 года. </w:t>
      </w:r>
    </w:p>
    <w:tbl>
      <w:tblPr>
        <w:tblpPr w:leftFromText="180" w:rightFromText="180" w:vertAnchor="text" w:horzAnchor="margin" w:tblpXSpec="right" w:tblpY="159"/>
        <w:tblW w:w="0" w:type="auto"/>
        <w:tblLook w:val="04A0" w:firstRow="1" w:lastRow="0" w:firstColumn="1" w:lastColumn="0" w:noHBand="0" w:noVBand="1"/>
      </w:tblPr>
      <w:tblGrid>
        <w:gridCol w:w="5495"/>
        <w:gridCol w:w="4076"/>
      </w:tblGrid>
      <w:tr w:rsidR="00E04C9E" w:rsidTr="00E04C9E">
        <w:tc>
          <w:tcPr>
            <w:tcW w:w="5495" w:type="dxa"/>
          </w:tcPr>
          <w:p w:rsidR="00E04C9E" w:rsidRDefault="00E04C9E" w:rsidP="00E04C9E">
            <w:pPr>
              <w:jc w:val="both"/>
              <w:rPr>
                <w:sz w:val="28"/>
                <w:szCs w:val="28"/>
              </w:rPr>
            </w:pPr>
          </w:p>
          <w:p w:rsidR="00E04C9E" w:rsidRDefault="00E04C9E" w:rsidP="00E04C9E">
            <w:pPr>
              <w:jc w:val="both"/>
              <w:rPr>
                <w:sz w:val="28"/>
                <w:szCs w:val="28"/>
              </w:rPr>
            </w:pPr>
            <w:r>
              <w:rPr>
                <w:sz w:val="28"/>
                <w:szCs w:val="28"/>
              </w:rPr>
              <w:t>Глава города Минусинска</w:t>
            </w:r>
          </w:p>
          <w:p w:rsidR="00E04C9E" w:rsidRDefault="00E04C9E" w:rsidP="00E04C9E">
            <w:pPr>
              <w:jc w:val="both"/>
              <w:rPr>
                <w:sz w:val="28"/>
                <w:szCs w:val="28"/>
              </w:rPr>
            </w:pPr>
          </w:p>
          <w:p w:rsidR="00E04C9E" w:rsidRDefault="00E04C9E" w:rsidP="00E04C9E">
            <w:pPr>
              <w:jc w:val="both"/>
              <w:rPr>
                <w:sz w:val="28"/>
                <w:szCs w:val="28"/>
              </w:rPr>
            </w:pPr>
          </w:p>
          <w:p w:rsidR="00E04C9E" w:rsidRDefault="00436DB2" w:rsidP="00E04C9E">
            <w:pPr>
              <w:jc w:val="both"/>
              <w:rPr>
                <w:sz w:val="28"/>
                <w:szCs w:val="28"/>
              </w:rPr>
            </w:pPr>
            <w:r>
              <w:rPr>
                <w:sz w:val="28"/>
                <w:szCs w:val="28"/>
              </w:rPr>
              <w:t xml:space="preserve">подпись  </w:t>
            </w:r>
            <w:r w:rsidR="00E04C9E">
              <w:rPr>
                <w:sz w:val="28"/>
                <w:szCs w:val="28"/>
              </w:rPr>
              <w:t>Д.Н. Меркулов</w:t>
            </w:r>
          </w:p>
        </w:tc>
        <w:tc>
          <w:tcPr>
            <w:tcW w:w="4076" w:type="dxa"/>
          </w:tcPr>
          <w:p w:rsidR="00E04C9E" w:rsidRDefault="00E04C9E" w:rsidP="00E04C9E">
            <w:pPr>
              <w:jc w:val="both"/>
              <w:rPr>
                <w:sz w:val="28"/>
                <w:szCs w:val="28"/>
              </w:rPr>
            </w:pPr>
          </w:p>
          <w:p w:rsidR="00E04C9E" w:rsidRDefault="00E04C9E" w:rsidP="00E04C9E">
            <w:pPr>
              <w:jc w:val="both"/>
              <w:rPr>
                <w:sz w:val="28"/>
                <w:szCs w:val="28"/>
              </w:rPr>
            </w:pPr>
            <w:r>
              <w:rPr>
                <w:sz w:val="28"/>
                <w:szCs w:val="28"/>
              </w:rPr>
              <w:t xml:space="preserve">Председатель Минусинского городского Совета депутатов                                                                         </w:t>
            </w:r>
          </w:p>
          <w:p w:rsidR="00E04C9E" w:rsidRDefault="00E04C9E" w:rsidP="00E04C9E">
            <w:pPr>
              <w:jc w:val="both"/>
              <w:rPr>
                <w:sz w:val="28"/>
                <w:szCs w:val="28"/>
              </w:rPr>
            </w:pPr>
          </w:p>
          <w:p w:rsidR="00E04C9E" w:rsidRDefault="00436DB2" w:rsidP="00E04C9E">
            <w:pPr>
              <w:jc w:val="both"/>
              <w:rPr>
                <w:sz w:val="28"/>
                <w:szCs w:val="28"/>
              </w:rPr>
            </w:pPr>
            <w:r>
              <w:rPr>
                <w:sz w:val="28"/>
                <w:szCs w:val="28"/>
              </w:rPr>
              <w:t xml:space="preserve">подпись </w:t>
            </w:r>
            <w:bookmarkStart w:id="0" w:name="_GoBack"/>
            <w:bookmarkEnd w:id="0"/>
            <w:r w:rsidR="00E04C9E">
              <w:rPr>
                <w:sz w:val="28"/>
                <w:szCs w:val="28"/>
              </w:rPr>
              <w:t xml:space="preserve"> Г.Г. Циплин</w:t>
            </w:r>
          </w:p>
          <w:p w:rsidR="00E04C9E" w:rsidRDefault="00E04C9E" w:rsidP="00E04C9E">
            <w:pPr>
              <w:jc w:val="both"/>
              <w:rPr>
                <w:sz w:val="28"/>
                <w:szCs w:val="28"/>
              </w:rPr>
            </w:pPr>
          </w:p>
        </w:tc>
      </w:tr>
    </w:tbl>
    <w:p w:rsidR="00E04C9E" w:rsidRDefault="00E04C9E" w:rsidP="00E04C9E">
      <w:pPr>
        <w:widowControl w:val="0"/>
        <w:autoSpaceDE w:val="0"/>
        <w:autoSpaceDN w:val="0"/>
        <w:adjustRightInd w:val="0"/>
        <w:jc w:val="both"/>
        <w:rPr>
          <w:sz w:val="28"/>
          <w:szCs w:val="28"/>
        </w:rPr>
      </w:pPr>
    </w:p>
    <w:p w:rsidR="00E04C9E" w:rsidRDefault="00E04C9E" w:rsidP="00E04C9E">
      <w:pPr>
        <w:rPr>
          <w:vanish/>
        </w:rPr>
      </w:pPr>
    </w:p>
    <w:tbl>
      <w:tblPr>
        <w:tblW w:w="0" w:type="auto"/>
        <w:tblLook w:val="04A0" w:firstRow="1" w:lastRow="0" w:firstColumn="1" w:lastColumn="0" w:noHBand="0" w:noVBand="1"/>
      </w:tblPr>
      <w:tblGrid>
        <w:gridCol w:w="5012"/>
        <w:gridCol w:w="5126"/>
      </w:tblGrid>
      <w:tr w:rsidR="00E04C9E" w:rsidTr="00E04C9E">
        <w:tc>
          <w:tcPr>
            <w:tcW w:w="5341" w:type="dxa"/>
          </w:tcPr>
          <w:p w:rsidR="00E04C9E" w:rsidRDefault="00E04C9E" w:rsidP="00E04C9E">
            <w:pPr>
              <w:pageBreakBefore/>
              <w:rPr>
                <w:sz w:val="28"/>
                <w:szCs w:val="28"/>
              </w:rPr>
            </w:pPr>
          </w:p>
        </w:tc>
        <w:tc>
          <w:tcPr>
            <w:tcW w:w="5341" w:type="dxa"/>
          </w:tcPr>
          <w:p w:rsidR="00E04C9E" w:rsidRDefault="00E04C9E" w:rsidP="00E04C9E">
            <w:pPr>
              <w:pageBreakBefore/>
              <w:rPr>
                <w:sz w:val="28"/>
                <w:szCs w:val="28"/>
              </w:rPr>
            </w:pPr>
          </w:p>
          <w:p w:rsidR="00E04C9E" w:rsidRDefault="00E04C9E" w:rsidP="00727F01">
            <w:pPr>
              <w:pageBreakBefore/>
              <w:rPr>
                <w:sz w:val="28"/>
                <w:szCs w:val="28"/>
              </w:rPr>
            </w:pPr>
            <w:r>
              <w:rPr>
                <w:sz w:val="28"/>
                <w:szCs w:val="28"/>
              </w:rPr>
              <w:t>Приложение                                                                             к  решению Минусинского                                                                              городского Совета депутатов                                                                                   от 07</w:t>
            </w:r>
            <w:r w:rsidR="00727F01">
              <w:rPr>
                <w:sz w:val="28"/>
                <w:szCs w:val="28"/>
              </w:rPr>
              <w:t>.02.</w:t>
            </w:r>
            <w:r>
              <w:rPr>
                <w:sz w:val="28"/>
                <w:szCs w:val="28"/>
              </w:rPr>
              <w:t xml:space="preserve"> 2018 </w:t>
            </w:r>
            <w:r w:rsidR="00727F01">
              <w:rPr>
                <w:sz w:val="28"/>
                <w:szCs w:val="28"/>
              </w:rPr>
              <w:t xml:space="preserve"> </w:t>
            </w:r>
            <w:r>
              <w:rPr>
                <w:sz w:val="28"/>
                <w:szCs w:val="28"/>
              </w:rPr>
              <w:t>№ 6-42р</w:t>
            </w:r>
          </w:p>
        </w:tc>
      </w:tr>
    </w:tbl>
    <w:p w:rsidR="00E04C9E" w:rsidRDefault="00E04C9E" w:rsidP="00E04C9E">
      <w:pPr>
        <w:widowControl w:val="0"/>
        <w:shd w:val="clear" w:color="auto" w:fill="FFFFFF"/>
        <w:tabs>
          <w:tab w:val="left" w:pos="917"/>
        </w:tabs>
        <w:autoSpaceDE w:val="0"/>
        <w:autoSpaceDN w:val="0"/>
        <w:adjustRightInd w:val="0"/>
        <w:jc w:val="both"/>
        <w:rPr>
          <w:sz w:val="28"/>
          <w:szCs w:val="28"/>
        </w:rPr>
      </w:pPr>
    </w:p>
    <w:p w:rsidR="00E04C9E" w:rsidRDefault="00E04C9E" w:rsidP="00E04C9E">
      <w:pPr>
        <w:widowControl w:val="0"/>
        <w:shd w:val="clear" w:color="auto" w:fill="FFFFFF"/>
        <w:tabs>
          <w:tab w:val="left" w:pos="917"/>
        </w:tabs>
        <w:autoSpaceDE w:val="0"/>
        <w:autoSpaceDN w:val="0"/>
        <w:adjustRightInd w:val="0"/>
        <w:jc w:val="both"/>
        <w:rPr>
          <w:sz w:val="28"/>
          <w:szCs w:val="28"/>
        </w:rPr>
      </w:pPr>
    </w:p>
    <w:p w:rsidR="00E04C9E" w:rsidRDefault="00E04C9E" w:rsidP="00E04C9E">
      <w:pPr>
        <w:jc w:val="center"/>
        <w:rPr>
          <w:sz w:val="28"/>
          <w:szCs w:val="28"/>
        </w:rPr>
      </w:pPr>
      <w:r>
        <w:rPr>
          <w:sz w:val="28"/>
          <w:szCs w:val="28"/>
        </w:rPr>
        <w:t>Стоимость услуг,</w:t>
      </w:r>
    </w:p>
    <w:p w:rsidR="00E04C9E" w:rsidRDefault="00E04C9E" w:rsidP="00E04C9E">
      <w:pPr>
        <w:jc w:val="center"/>
        <w:rPr>
          <w:sz w:val="28"/>
          <w:szCs w:val="28"/>
        </w:rPr>
      </w:pPr>
      <w:r>
        <w:rPr>
          <w:sz w:val="28"/>
          <w:szCs w:val="28"/>
        </w:rPr>
        <w:t>предоставляемых согласно гарантированному перечню услуг по погребению, возмещаемых специализированной службе по вопросам похоронного дела муниципальному  унитарному  предприятию города Минусинска «Минусинское городское хозяйство»  за счет средств Пенсионного фонда Российской Федерации, Федерального бюджета, Фонда социального страхования Российской Федерации</w:t>
      </w:r>
    </w:p>
    <w:p w:rsidR="00E04C9E" w:rsidRDefault="00E04C9E" w:rsidP="00E04C9E">
      <w:pPr>
        <w:jc w:val="both"/>
        <w:rPr>
          <w:sz w:val="28"/>
          <w:szCs w:val="28"/>
        </w:rPr>
      </w:pPr>
    </w:p>
    <w:p w:rsidR="00E04C9E" w:rsidRDefault="00E04C9E" w:rsidP="00E04C9E">
      <w:pPr>
        <w:jc w:val="both"/>
        <w:rPr>
          <w:sz w:val="28"/>
          <w:szCs w:val="28"/>
        </w:rPr>
      </w:pPr>
    </w:p>
    <w:tbl>
      <w:tblPr>
        <w:tblW w:w="9639" w:type="dxa"/>
        <w:tblLook w:val="04A0" w:firstRow="1" w:lastRow="0" w:firstColumn="1" w:lastColumn="0" w:noHBand="0" w:noVBand="1"/>
      </w:tblPr>
      <w:tblGrid>
        <w:gridCol w:w="6488"/>
        <w:gridCol w:w="3151"/>
      </w:tblGrid>
      <w:tr w:rsidR="00E04C9E" w:rsidTr="00E04C9E">
        <w:trPr>
          <w:trHeight w:val="800"/>
        </w:trPr>
        <w:tc>
          <w:tcPr>
            <w:tcW w:w="6488" w:type="dxa"/>
            <w:hideMark/>
          </w:tcPr>
          <w:p w:rsidR="00E04C9E" w:rsidRDefault="00E04C9E" w:rsidP="00E04C9E">
            <w:pPr>
              <w:numPr>
                <w:ilvl w:val="0"/>
                <w:numId w:val="1"/>
              </w:numPr>
              <w:ind w:left="0" w:firstLine="0"/>
              <w:jc w:val="both"/>
              <w:rPr>
                <w:sz w:val="28"/>
                <w:szCs w:val="28"/>
              </w:rPr>
            </w:pPr>
            <w:r>
              <w:rPr>
                <w:sz w:val="28"/>
                <w:szCs w:val="28"/>
              </w:rPr>
              <w:t xml:space="preserve">Оформление документов, необходимых для погребения </w:t>
            </w:r>
          </w:p>
        </w:tc>
        <w:tc>
          <w:tcPr>
            <w:tcW w:w="3151" w:type="dxa"/>
            <w:hideMark/>
          </w:tcPr>
          <w:p w:rsidR="00E04C9E" w:rsidRDefault="00E04C9E" w:rsidP="00E04C9E">
            <w:pPr>
              <w:jc w:val="both"/>
              <w:rPr>
                <w:sz w:val="28"/>
                <w:szCs w:val="28"/>
              </w:rPr>
            </w:pPr>
            <w:r>
              <w:rPr>
                <w:sz w:val="28"/>
                <w:szCs w:val="28"/>
              </w:rPr>
              <w:t xml:space="preserve">                   309,53  руб.</w:t>
            </w:r>
          </w:p>
        </w:tc>
      </w:tr>
      <w:tr w:rsidR="00E04C9E" w:rsidTr="00E04C9E">
        <w:tc>
          <w:tcPr>
            <w:tcW w:w="6488" w:type="dxa"/>
          </w:tcPr>
          <w:p w:rsidR="00E04C9E" w:rsidRDefault="00E04C9E" w:rsidP="00E04C9E">
            <w:pPr>
              <w:numPr>
                <w:ilvl w:val="0"/>
                <w:numId w:val="1"/>
              </w:numPr>
              <w:ind w:left="0" w:firstLine="0"/>
              <w:jc w:val="both"/>
              <w:rPr>
                <w:sz w:val="28"/>
                <w:szCs w:val="28"/>
              </w:rPr>
            </w:pPr>
            <w:r>
              <w:rPr>
                <w:sz w:val="28"/>
                <w:szCs w:val="28"/>
              </w:rPr>
              <w:t>Предоставление и доставка гроба и других предметов, необходимых для погребения</w:t>
            </w:r>
          </w:p>
          <w:p w:rsidR="00E04C9E" w:rsidRDefault="00E04C9E" w:rsidP="00E04C9E">
            <w:pPr>
              <w:jc w:val="both"/>
              <w:rPr>
                <w:sz w:val="28"/>
                <w:szCs w:val="28"/>
              </w:rPr>
            </w:pPr>
          </w:p>
        </w:tc>
        <w:tc>
          <w:tcPr>
            <w:tcW w:w="3151" w:type="dxa"/>
            <w:hideMark/>
          </w:tcPr>
          <w:p w:rsidR="00E04C9E" w:rsidRDefault="00E04C9E" w:rsidP="00E04C9E">
            <w:pPr>
              <w:jc w:val="both"/>
              <w:rPr>
                <w:sz w:val="28"/>
                <w:szCs w:val="28"/>
              </w:rPr>
            </w:pPr>
            <w:r>
              <w:rPr>
                <w:sz w:val="28"/>
                <w:szCs w:val="28"/>
              </w:rPr>
              <w:t xml:space="preserve">                    1591,69 руб. </w:t>
            </w:r>
          </w:p>
        </w:tc>
      </w:tr>
      <w:tr w:rsidR="00E04C9E" w:rsidTr="00E04C9E">
        <w:tc>
          <w:tcPr>
            <w:tcW w:w="6488" w:type="dxa"/>
          </w:tcPr>
          <w:p w:rsidR="00E04C9E" w:rsidRDefault="00E04C9E" w:rsidP="00E04C9E">
            <w:pPr>
              <w:numPr>
                <w:ilvl w:val="0"/>
                <w:numId w:val="1"/>
              </w:numPr>
              <w:ind w:left="0" w:firstLine="0"/>
              <w:jc w:val="both"/>
              <w:rPr>
                <w:sz w:val="28"/>
                <w:szCs w:val="28"/>
              </w:rPr>
            </w:pPr>
            <w:r>
              <w:rPr>
                <w:sz w:val="28"/>
                <w:szCs w:val="28"/>
              </w:rPr>
              <w:t>Перевозка тела (останков) умершего на кладбище</w:t>
            </w:r>
          </w:p>
          <w:p w:rsidR="00E04C9E" w:rsidRDefault="00E04C9E" w:rsidP="00E04C9E">
            <w:pPr>
              <w:jc w:val="both"/>
              <w:rPr>
                <w:sz w:val="28"/>
                <w:szCs w:val="28"/>
              </w:rPr>
            </w:pPr>
          </w:p>
        </w:tc>
        <w:tc>
          <w:tcPr>
            <w:tcW w:w="3151" w:type="dxa"/>
            <w:hideMark/>
          </w:tcPr>
          <w:p w:rsidR="00E04C9E" w:rsidRDefault="00E04C9E" w:rsidP="00E04C9E">
            <w:pPr>
              <w:jc w:val="both"/>
              <w:rPr>
                <w:sz w:val="28"/>
                <w:szCs w:val="28"/>
              </w:rPr>
            </w:pPr>
            <w:r>
              <w:rPr>
                <w:sz w:val="28"/>
                <w:szCs w:val="28"/>
              </w:rPr>
              <w:t xml:space="preserve">                    1826,39 руб. </w:t>
            </w:r>
          </w:p>
        </w:tc>
      </w:tr>
      <w:tr w:rsidR="00E04C9E" w:rsidTr="00E04C9E">
        <w:tc>
          <w:tcPr>
            <w:tcW w:w="6488" w:type="dxa"/>
          </w:tcPr>
          <w:p w:rsidR="00E04C9E" w:rsidRDefault="00E04C9E" w:rsidP="00E04C9E">
            <w:pPr>
              <w:numPr>
                <w:ilvl w:val="0"/>
                <w:numId w:val="1"/>
              </w:numPr>
              <w:ind w:left="0" w:firstLine="0"/>
              <w:jc w:val="both"/>
              <w:rPr>
                <w:sz w:val="28"/>
                <w:szCs w:val="28"/>
              </w:rPr>
            </w:pPr>
            <w:r>
              <w:rPr>
                <w:sz w:val="28"/>
                <w:szCs w:val="28"/>
              </w:rPr>
              <w:t xml:space="preserve">Погребение </w:t>
            </w:r>
          </w:p>
          <w:p w:rsidR="00E04C9E" w:rsidRDefault="00E04C9E" w:rsidP="00E04C9E">
            <w:pPr>
              <w:jc w:val="both"/>
              <w:rPr>
                <w:sz w:val="28"/>
                <w:szCs w:val="28"/>
              </w:rPr>
            </w:pPr>
          </w:p>
        </w:tc>
        <w:tc>
          <w:tcPr>
            <w:tcW w:w="3151" w:type="dxa"/>
            <w:hideMark/>
          </w:tcPr>
          <w:p w:rsidR="00E04C9E" w:rsidRDefault="00E04C9E" w:rsidP="00E04C9E">
            <w:pPr>
              <w:jc w:val="both"/>
              <w:rPr>
                <w:sz w:val="28"/>
                <w:szCs w:val="28"/>
              </w:rPr>
            </w:pPr>
            <w:r>
              <w:rPr>
                <w:sz w:val="28"/>
                <w:szCs w:val="28"/>
              </w:rPr>
              <w:t xml:space="preserve">                   3113,96  руб. </w:t>
            </w:r>
          </w:p>
        </w:tc>
      </w:tr>
      <w:tr w:rsidR="00E04C9E" w:rsidTr="00E04C9E">
        <w:tc>
          <w:tcPr>
            <w:tcW w:w="6488" w:type="dxa"/>
          </w:tcPr>
          <w:p w:rsidR="00E04C9E" w:rsidRDefault="00E04C9E" w:rsidP="00E04C9E">
            <w:pPr>
              <w:jc w:val="both"/>
              <w:rPr>
                <w:sz w:val="28"/>
                <w:szCs w:val="28"/>
              </w:rPr>
            </w:pPr>
          </w:p>
          <w:p w:rsidR="00E04C9E" w:rsidRDefault="00E04C9E" w:rsidP="00E04C9E">
            <w:pPr>
              <w:jc w:val="both"/>
              <w:rPr>
                <w:sz w:val="28"/>
                <w:szCs w:val="28"/>
              </w:rPr>
            </w:pPr>
            <w:r>
              <w:rPr>
                <w:sz w:val="28"/>
                <w:szCs w:val="28"/>
              </w:rPr>
              <w:t>ИТОГО:</w:t>
            </w:r>
          </w:p>
        </w:tc>
        <w:tc>
          <w:tcPr>
            <w:tcW w:w="3151" w:type="dxa"/>
            <w:hideMark/>
          </w:tcPr>
          <w:p w:rsidR="00E04C9E" w:rsidRDefault="00E04C9E" w:rsidP="00E04C9E">
            <w:pPr>
              <w:jc w:val="both"/>
              <w:rPr>
                <w:sz w:val="28"/>
                <w:szCs w:val="28"/>
              </w:rPr>
            </w:pPr>
            <w:r>
              <w:rPr>
                <w:sz w:val="28"/>
                <w:szCs w:val="28"/>
              </w:rPr>
              <w:t xml:space="preserve">                          </w:t>
            </w:r>
          </w:p>
          <w:p w:rsidR="00E04C9E" w:rsidRDefault="00E04C9E" w:rsidP="00E04C9E">
            <w:pPr>
              <w:jc w:val="both"/>
              <w:rPr>
                <w:sz w:val="28"/>
                <w:szCs w:val="28"/>
              </w:rPr>
            </w:pPr>
            <w:r>
              <w:rPr>
                <w:sz w:val="28"/>
                <w:szCs w:val="28"/>
              </w:rPr>
              <w:t xml:space="preserve">                   6841,57 руб.</w:t>
            </w:r>
          </w:p>
        </w:tc>
      </w:tr>
    </w:tbl>
    <w:p w:rsidR="00E04C9E" w:rsidRDefault="00E04C9E" w:rsidP="00E04C9E">
      <w:pPr>
        <w:jc w:val="both"/>
        <w:rPr>
          <w:sz w:val="28"/>
          <w:szCs w:val="28"/>
        </w:rPr>
      </w:pPr>
    </w:p>
    <w:p w:rsidR="00E04C9E" w:rsidRDefault="00E04C9E" w:rsidP="00E04C9E">
      <w:pPr>
        <w:jc w:val="both"/>
        <w:rPr>
          <w:sz w:val="28"/>
          <w:szCs w:val="28"/>
        </w:rPr>
      </w:pPr>
    </w:p>
    <w:p w:rsidR="00E04C9E" w:rsidRDefault="00E04C9E" w:rsidP="00E04C9E">
      <w:pPr>
        <w:widowControl w:val="0"/>
        <w:shd w:val="clear" w:color="auto" w:fill="FFFFFF"/>
        <w:tabs>
          <w:tab w:val="left" w:pos="917"/>
        </w:tabs>
        <w:autoSpaceDE w:val="0"/>
        <w:autoSpaceDN w:val="0"/>
        <w:adjustRightInd w:val="0"/>
        <w:jc w:val="both"/>
        <w:rPr>
          <w:sz w:val="28"/>
          <w:szCs w:val="28"/>
        </w:rPr>
      </w:pPr>
      <w:r>
        <w:rPr>
          <w:sz w:val="28"/>
          <w:szCs w:val="28"/>
        </w:rPr>
        <w:t xml:space="preserve">                                                                                           </w:t>
      </w:r>
    </w:p>
    <w:p w:rsidR="00E04C9E" w:rsidRDefault="00E04C9E" w:rsidP="00E04C9E">
      <w:pPr>
        <w:widowControl w:val="0"/>
        <w:shd w:val="clear" w:color="auto" w:fill="FFFFFF"/>
        <w:tabs>
          <w:tab w:val="left" w:pos="917"/>
        </w:tabs>
        <w:autoSpaceDE w:val="0"/>
        <w:autoSpaceDN w:val="0"/>
        <w:adjustRightInd w:val="0"/>
        <w:jc w:val="both"/>
        <w:rPr>
          <w:sz w:val="28"/>
          <w:szCs w:val="28"/>
        </w:rPr>
      </w:pPr>
    </w:p>
    <w:p w:rsidR="00E04C9E" w:rsidRDefault="00E04C9E" w:rsidP="00E04C9E">
      <w:pPr>
        <w:pStyle w:val="a3"/>
        <w:ind w:left="5100"/>
        <w:jc w:val="left"/>
      </w:pPr>
    </w:p>
    <w:p w:rsidR="00E4037F" w:rsidRDefault="00E4037F"/>
    <w:sectPr w:rsidR="00E4037F" w:rsidSect="00E04C9E">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80183"/>
    <w:multiLevelType w:val="hybridMultilevel"/>
    <w:tmpl w:val="48485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63"/>
    <w:rsid w:val="00123D63"/>
    <w:rsid w:val="00436DB2"/>
    <w:rsid w:val="00727F01"/>
    <w:rsid w:val="00E04C9E"/>
    <w:rsid w:val="00E4037F"/>
    <w:rsid w:val="00FA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04C9E"/>
    <w:pPr>
      <w:ind w:left="360"/>
      <w:jc w:val="center"/>
    </w:pPr>
    <w:rPr>
      <w:sz w:val="28"/>
    </w:rPr>
  </w:style>
  <w:style w:type="character" w:customStyle="1" w:styleId="a4">
    <w:name w:val="Название Знак"/>
    <w:basedOn w:val="a0"/>
    <w:link w:val="a3"/>
    <w:rsid w:val="00E04C9E"/>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04C9E"/>
    <w:pPr>
      <w:ind w:left="360"/>
      <w:jc w:val="center"/>
    </w:pPr>
    <w:rPr>
      <w:sz w:val="28"/>
    </w:rPr>
  </w:style>
  <w:style w:type="character" w:customStyle="1" w:styleId="a4">
    <w:name w:val="Название Знак"/>
    <w:basedOn w:val="a0"/>
    <w:link w:val="a3"/>
    <w:rsid w:val="00E04C9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gs2</dc:creator>
  <cp:keywords/>
  <dc:description/>
  <cp:lastModifiedBy>gs2</cp:lastModifiedBy>
  <cp:revision>5</cp:revision>
  <dcterms:created xsi:type="dcterms:W3CDTF">2018-02-07T06:48:00Z</dcterms:created>
  <dcterms:modified xsi:type="dcterms:W3CDTF">2018-02-08T03:15:00Z</dcterms:modified>
</cp:coreProperties>
</file>