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AC" w:rsidRDefault="005756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56AC" w:rsidRDefault="005756AC">
      <w:pPr>
        <w:pStyle w:val="ConsPlusNormal"/>
        <w:jc w:val="both"/>
        <w:outlineLvl w:val="0"/>
      </w:pPr>
    </w:p>
    <w:p w:rsidR="005756AC" w:rsidRDefault="005756AC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5756AC" w:rsidRDefault="005756AC">
      <w:pPr>
        <w:pStyle w:val="ConsPlusTitle"/>
        <w:jc w:val="center"/>
      </w:pPr>
    </w:p>
    <w:p w:rsidR="005756AC" w:rsidRDefault="005756AC">
      <w:pPr>
        <w:pStyle w:val="ConsPlusTitle"/>
        <w:jc w:val="center"/>
      </w:pPr>
      <w:r>
        <w:t>КОМИССИЯ ТАМОЖЕННОГО СОЮЗА</w:t>
      </w:r>
    </w:p>
    <w:p w:rsidR="005756AC" w:rsidRDefault="005756AC">
      <w:pPr>
        <w:pStyle w:val="ConsPlusTitle"/>
        <w:jc w:val="center"/>
      </w:pPr>
    </w:p>
    <w:p w:rsidR="005756AC" w:rsidRDefault="005756AC">
      <w:pPr>
        <w:pStyle w:val="ConsPlusTitle"/>
        <w:jc w:val="center"/>
      </w:pPr>
      <w:r>
        <w:t>РЕШЕНИЕ</w:t>
      </w:r>
    </w:p>
    <w:p w:rsidR="005756AC" w:rsidRDefault="005756AC">
      <w:pPr>
        <w:pStyle w:val="ConsPlusTitle"/>
        <w:jc w:val="center"/>
      </w:pPr>
      <w:r>
        <w:t>от 18 октября 2011 г. N 827</w:t>
      </w:r>
    </w:p>
    <w:p w:rsidR="005756AC" w:rsidRDefault="005756AC">
      <w:pPr>
        <w:pStyle w:val="ConsPlusTitle"/>
        <w:jc w:val="center"/>
      </w:pPr>
    </w:p>
    <w:p w:rsidR="005756AC" w:rsidRDefault="005756AC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5756AC" w:rsidRDefault="005756AC">
      <w:pPr>
        <w:pStyle w:val="ConsPlusTitle"/>
        <w:jc w:val="center"/>
      </w:pPr>
      <w:r>
        <w:t>"БЕЗОПАСНОСТЬ АВТОМОБИЛЬНЫХ ДОРОГ"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6AC" w:rsidRDefault="005756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859,</w:t>
            </w:r>
            <w:proofErr w:type="gramEnd"/>
          </w:p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18.09.2012 </w:t>
            </w:r>
            <w:hyperlink r:id="rId6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12.10.2015 </w:t>
            </w:r>
            <w:hyperlink r:id="rId7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jc w:val="center"/>
      </w:pPr>
    </w:p>
    <w:p w:rsidR="005756AC" w:rsidRDefault="005756AC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1. Принять технический </w:t>
      </w:r>
      <w:hyperlink w:anchor="P55">
        <w:r>
          <w:rPr>
            <w:color w:val="0000FF"/>
          </w:rPr>
          <w:t>регламент</w:t>
        </w:r>
      </w:hyperlink>
      <w:r>
        <w:t xml:space="preserve"> Таможенного союза "Безопасность автомобильных дорог" (</w:t>
      </w:r>
      <w:proofErr w:type="gramStart"/>
      <w:r>
        <w:t>ТР</w:t>
      </w:r>
      <w:proofErr w:type="gramEnd"/>
      <w:r>
        <w:t xml:space="preserve"> ТС 014/2011) (прилагается).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0" w:name="P17"/>
      <w:bookmarkEnd w:id="0"/>
      <w:r>
        <w:t xml:space="preserve">2. Утратил силу. - </w:t>
      </w:r>
      <w:hyperlink r:id="rId9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18.09.2012 N 159.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3. Установить: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3.1. Технический </w:t>
      </w:r>
      <w:hyperlink w:anchor="P55">
        <w:r>
          <w:rPr>
            <w:color w:val="0000FF"/>
          </w:rPr>
          <w:t>регламент</w:t>
        </w:r>
      </w:hyperlink>
      <w:r>
        <w:t xml:space="preserve"> Таможенного союза "Безопасность автомобильных дорог" (далее - Технический регламент) вступает в силу с 15 февраля 2015 года;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1" w:name="P20"/>
      <w:bookmarkEnd w:id="1"/>
      <w:r>
        <w:t xml:space="preserve">3.2. </w:t>
      </w:r>
      <w:proofErr w:type="gramStart"/>
      <w:r>
        <w:t xml:space="preserve">Документы об оценке (подтверждении) соответствия обязательным требованиям, установленным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Таможенного союза или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союза, выданные или принятые в отношении дорожно-строительных материалов и изделий, являющихся объектами технического регулирования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55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 сентября 2016 года.</w:t>
      </w:r>
      <w:proofErr w:type="gramEnd"/>
      <w: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Со дня вступления в силу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</w:t>
      </w:r>
      <w:r>
        <w:lastRenderedPageBreak/>
        <w:t xml:space="preserve">обязательным требованиям, ранее установленным нормативными правовыми </w:t>
      </w:r>
      <w:hyperlink r:id="rId12">
        <w:r>
          <w:rPr>
            <w:color w:val="0000FF"/>
          </w:rPr>
          <w:t>актами</w:t>
        </w:r>
      </w:hyperlink>
      <w:r>
        <w:t xml:space="preserve"> Таможенного союза или </w:t>
      </w:r>
      <w:hyperlink r:id="rId13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союза, не допускается.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Переоформление проектной документации, разработанной и утвержденной до вступления в силу Технического регламента, не требуется;</w:t>
      </w:r>
    </w:p>
    <w:p w:rsidR="005756AC" w:rsidRDefault="005756A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12.10.2015 N 135)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3.3. </w:t>
      </w:r>
      <w:proofErr w:type="gramStart"/>
      <w:r>
        <w:t xml:space="preserve">До 1 сентября 2016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55">
        <w:r>
          <w:rPr>
            <w:color w:val="0000FF"/>
          </w:rPr>
          <w:t>регламента</w:t>
        </w:r>
      </w:hyperlink>
      <w:r>
        <w:t>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3.3.1. </w:t>
      </w:r>
      <w:proofErr w:type="gramStart"/>
      <w:r>
        <w:t>До 1 сентября 2016 года допускается производство и выпуск в обращение на таможенной территории Евразийского экономического союза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 Евразийской экономической комиссии, входящими в право Евразийского экономического союза, или законодательством государства - члена Евразийского экономического союза, без документов об обязательной оценке соответствия и без маркировки национальным</w:t>
      </w:r>
      <w:proofErr w:type="gramEnd"/>
      <w:r>
        <w:t xml:space="preserve"> знаком соответствия (знаком обращения на рынке);</w:t>
      </w:r>
    </w:p>
    <w:p w:rsidR="005756AC" w:rsidRDefault="005756AC">
      <w:pPr>
        <w:pStyle w:val="ConsPlusNormal"/>
        <w:jc w:val="both"/>
      </w:pPr>
      <w:r>
        <w:t xml:space="preserve">(пп. 3.3.1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12.10.2015 N 135)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3.3.2. До 1 сентября 2016 года допускается разработка и утверждение проектной документации на основании нормативных правовых актов государств - членов Евразийского экономического союза, принятых до вступления в силу Технического регламента;</w:t>
      </w:r>
    </w:p>
    <w:p w:rsidR="005756AC" w:rsidRDefault="005756AC">
      <w:pPr>
        <w:pStyle w:val="ConsPlusNormal"/>
        <w:jc w:val="both"/>
      </w:pPr>
      <w:r>
        <w:t xml:space="preserve">(пп. 3.3.2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12.10.2015 N 135)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0">
        <w:r>
          <w:rPr>
            <w:color w:val="0000FF"/>
          </w:rPr>
          <w:t>подпункте 3.2</w:t>
        </w:r>
      </w:hyperlink>
      <w:r>
        <w:t xml:space="preserve"> настоящего Решения, допускается в течение срока годности (срока службы) продукции, установленного в соответствии с законодательством государства - члена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2" w:name="P30"/>
      <w:bookmarkEnd w:id="2"/>
      <w:r>
        <w:t xml:space="preserve">4. </w:t>
      </w:r>
      <w:proofErr w:type="gramStart"/>
      <w:r>
        <w:t>С даты вступления</w:t>
      </w:r>
      <w:proofErr w:type="gramEnd"/>
      <w:r>
        <w:t xml:space="preserve"> в силу отдельного технического регламента Таможенного союза на строительные материалы и изделия в отношении дорожно-строительных материалов </w:t>
      </w:r>
      <w:hyperlink w:anchor="P309">
        <w:r>
          <w:rPr>
            <w:color w:val="0000FF"/>
          </w:rPr>
          <w:t>пункт 14 статьи 3</w:t>
        </w:r>
      </w:hyperlink>
      <w:r>
        <w:t xml:space="preserve">, </w:t>
      </w:r>
      <w:hyperlink w:anchor="P363">
        <w:r>
          <w:rPr>
            <w:color w:val="0000FF"/>
          </w:rPr>
          <w:t>пункт 24 статьи 5</w:t>
        </w:r>
      </w:hyperlink>
      <w:r>
        <w:t xml:space="preserve">, </w:t>
      </w:r>
      <w:hyperlink w:anchor="P442">
        <w:r>
          <w:rPr>
            <w:color w:val="0000FF"/>
          </w:rPr>
          <w:t>статья 6</w:t>
        </w:r>
      </w:hyperlink>
      <w:r>
        <w:t xml:space="preserve"> и </w:t>
      </w:r>
      <w:hyperlink w:anchor="P462">
        <w:r>
          <w:rPr>
            <w:color w:val="0000FF"/>
          </w:rPr>
          <w:t>приложение 1</w:t>
        </w:r>
      </w:hyperlink>
      <w:r>
        <w:t xml:space="preserve"> к Техническому регламенту не применяются.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5.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, </w:t>
      </w:r>
      <w:r>
        <w:lastRenderedPageBreak/>
        <w:t>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6.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ind w:firstLine="540"/>
        <w:jc w:val="both"/>
      </w:pPr>
      <w:r>
        <w:t>6. Сторонам: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6.1. к дате вступления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55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6.2. обеспечить проведение государственного контроля (надзора) за соблюдением требований Технического </w:t>
      </w:r>
      <w:hyperlink w:anchor="P55">
        <w:r>
          <w:rPr>
            <w:color w:val="0000FF"/>
          </w:rPr>
          <w:t>регламента</w:t>
        </w:r>
      </w:hyperlink>
      <w:r>
        <w:t xml:space="preserve"> </w:t>
      </w:r>
      <w:proofErr w:type="gramStart"/>
      <w:r>
        <w:t>с даты вступления</w:t>
      </w:r>
      <w:proofErr w:type="gramEnd"/>
      <w:r>
        <w:t xml:space="preserve"> его в силу.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7. Настоящее Решение вступает в силу через 15 дней со дня его официального опубликования, если в течение этого срока Стороны не заявят о приостановлении своего одобрения Технического </w:t>
      </w:r>
      <w:hyperlink w:anchor="P55">
        <w:r>
          <w:rPr>
            <w:color w:val="0000FF"/>
          </w:rPr>
          <w:t>регламента</w:t>
        </w:r>
      </w:hyperlink>
      <w:r>
        <w:t>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jc w:val="center"/>
      </w:pPr>
      <w:r>
        <w:t>Члены Комиссии Таможенного союза: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5756AC" w:rsidRDefault="005756AC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5756AC" w:rsidRDefault="005756AC">
      <w:pPr>
        <w:pStyle w:val="ConsPlusCell"/>
        <w:jc w:val="both"/>
      </w:pPr>
      <w:r>
        <w:t xml:space="preserve">      (Подпись)                   (Подпись)                 (Подпись)</w:t>
      </w:r>
    </w:p>
    <w:p w:rsidR="005756AC" w:rsidRDefault="005756AC">
      <w:pPr>
        <w:pStyle w:val="ConsPlusCell"/>
        <w:jc w:val="both"/>
      </w:pPr>
      <w:r>
        <w:t xml:space="preserve">       С.РУМАС                    У.ШУКЕЕВ                  И.ШУВАЛОВ</w:t>
      </w: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Normal"/>
        <w:jc w:val="right"/>
        <w:outlineLvl w:val="0"/>
      </w:pPr>
      <w:r>
        <w:t>Утвержден</w:t>
      </w:r>
    </w:p>
    <w:p w:rsidR="005756AC" w:rsidRDefault="005756AC">
      <w:pPr>
        <w:pStyle w:val="ConsPlusNormal"/>
        <w:jc w:val="right"/>
      </w:pPr>
      <w:r>
        <w:t>Решением Комиссии Таможенного союза</w:t>
      </w:r>
    </w:p>
    <w:p w:rsidR="005756AC" w:rsidRDefault="005756AC">
      <w:pPr>
        <w:pStyle w:val="ConsPlusNormal"/>
        <w:jc w:val="right"/>
      </w:pPr>
      <w:r>
        <w:t>от 18 октября 2011 г. N 827</w:t>
      </w:r>
    </w:p>
    <w:p w:rsidR="005756AC" w:rsidRDefault="005756AC">
      <w:pPr>
        <w:pStyle w:val="ConsPlusNormal"/>
        <w:jc w:val="right"/>
      </w:pPr>
    </w:p>
    <w:p w:rsidR="005756AC" w:rsidRDefault="005756AC">
      <w:pPr>
        <w:pStyle w:val="ConsPlusTitle"/>
        <w:jc w:val="center"/>
      </w:pPr>
      <w:bookmarkStart w:id="3" w:name="P55"/>
      <w:bookmarkEnd w:id="3"/>
      <w:r>
        <w:t>ТЕХНИЧЕСКИЙ РЕГЛАМЕНТ ТАМОЖЕННОГО СОЮЗА</w:t>
      </w:r>
    </w:p>
    <w:p w:rsidR="005756AC" w:rsidRDefault="005756AC">
      <w:pPr>
        <w:pStyle w:val="ConsPlusTitle"/>
        <w:jc w:val="center"/>
      </w:pPr>
    </w:p>
    <w:p w:rsidR="005756AC" w:rsidRDefault="005756AC">
      <w:pPr>
        <w:pStyle w:val="ConsPlusTitle"/>
        <w:jc w:val="center"/>
      </w:pPr>
      <w:proofErr w:type="gramStart"/>
      <w:r>
        <w:t>ТР</w:t>
      </w:r>
      <w:proofErr w:type="gramEnd"/>
      <w:r>
        <w:t xml:space="preserve"> ТС 014/2011</w:t>
      </w:r>
    </w:p>
    <w:p w:rsidR="005756AC" w:rsidRDefault="005756AC">
      <w:pPr>
        <w:pStyle w:val="ConsPlusTitle"/>
        <w:jc w:val="center"/>
      </w:pPr>
    </w:p>
    <w:p w:rsidR="005756AC" w:rsidRDefault="005756AC">
      <w:pPr>
        <w:pStyle w:val="ConsPlusTitle"/>
        <w:jc w:val="center"/>
      </w:pPr>
      <w:r>
        <w:lastRenderedPageBreak/>
        <w:t>БЕЗОПАСНОСТЬ АВТОМОБИЛЬНЫХ ДОРОГ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jc w:val="center"/>
      </w:pPr>
    </w:p>
    <w:p w:rsidR="005756AC" w:rsidRDefault="005756AC">
      <w:pPr>
        <w:pStyle w:val="ConsPlusNormal"/>
        <w:jc w:val="center"/>
        <w:outlineLvl w:val="1"/>
      </w:pPr>
      <w:r>
        <w:t>Предисловие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 xml:space="preserve">Настоящий технический регламент Таможенного союза разработан на основании </w:t>
      </w:r>
      <w:hyperlink r:id="rId18">
        <w:r>
          <w:rPr>
            <w:color w:val="0000FF"/>
          </w:rPr>
          <w:t>Соглашения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Требования настоящего технического регламента гармонизированы с Европейским </w:t>
      </w:r>
      <w:hyperlink r:id="rId19">
        <w:r>
          <w:rPr>
            <w:color w:val="0000FF"/>
          </w:rPr>
          <w:t>Соглашением</w:t>
        </w:r>
      </w:hyperlink>
      <w:r>
        <w:t xml:space="preserve"> о международных автомагистралях (СМА) ЕЭК ООН, Женева, 15 ноября 1975 года, </w:t>
      </w:r>
      <w:hyperlink r:id="rId20">
        <w:r>
          <w:rPr>
            <w:color w:val="0000FF"/>
          </w:rPr>
          <w:t>Конвенцией</w:t>
        </w:r>
      </w:hyperlink>
      <w:r>
        <w:t xml:space="preserve"> о дорожном движении ЕЭК ООН, Вена, 8 ноября 1968 г.; </w:t>
      </w:r>
      <w:hyperlink r:id="rId21">
        <w:r>
          <w:rPr>
            <w:color w:val="0000FF"/>
          </w:rPr>
          <w:t>Конвенцией</w:t>
        </w:r>
      </w:hyperlink>
      <w:r>
        <w:t xml:space="preserve"> о дорожных знаках и сигналах ЕЭК ООН, Вена, 8 ноября 1968 г., Директивой Европейского союза 2004/54/ЕС от 29 апреля 2004, </w:t>
      </w:r>
      <w:hyperlink r:id="rId22">
        <w:r>
          <w:rPr>
            <w:color w:val="0000FF"/>
          </w:rPr>
          <w:t>Соглашением</w:t>
        </w:r>
      </w:hyperlink>
      <w:r>
        <w:t xml:space="preserve"> о массах и габаритах транспортных средств</w:t>
      </w:r>
      <w:proofErr w:type="gramEnd"/>
      <w:r>
        <w:t>, осуществляющих межгосударственные перевозки по автомобильным дорогам государств - участников Содружества Независимых Государств от 4 июня 1999 г.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 xml:space="preserve">1. Настоящий технический регламент принимается в целях обеспечения на стадиях проектирования, строительства, реконструкции, капитального ремонта и </w:t>
      </w:r>
      <w:proofErr w:type="gramStart"/>
      <w:r>
        <w:t>эксплуатации</w:t>
      </w:r>
      <w:proofErr w:type="gramEnd"/>
      <w:r>
        <w:t xml:space="preserve"> автомобильных дорог: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защиты жизни и (или) здоровья граждан, имущества;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охраны окружающей среды, животных и растений;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предупреждения действий, вводящих в заблуждение потребителей;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обеспечения энергетической эффективности и ресурсосбережения.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2. Настоящий технический регламент устанавливает минимально необходимые требования безопасности к автомобильным дорогам и процессам их проектирования, строительства, реконструкции, капитального ремонта и эксплуатации, а также формы и порядок оценки соответствия этим требованиям.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3. Правовой основой технического регулирования в области безопасности автомобильных дорог при проектировании, строительстве, реконструкции, капитальном ремонте и их эксплуатации являются международные договоры и законодательные акты государств - членов Таможенного союза по техническому регулированию в сфере автомобильных дорог, настоящий технический регламент.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 xml:space="preserve">4. Объектами технического регулирования настоящего технического регламента являются вновь строящиеся, реконструируемые, капитально ремонтируемые и эксплуатируемые автомобильные дороги общего пользования и дорожные сооружения на них, включая элементы обустройства (для объектов дорожного и придорожного сервиса регулируется только их расположение), а также связанные с ними процессы проектирования, строительства, реконструкции, капитального ремонта и </w:t>
      </w:r>
      <w:proofErr w:type="gramStart"/>
      <w:r>
        <w:t>эксплуатации</w:t>
      </w:r>
      <w:proofErr w:type="gramEnd"/>
      <w:r>
        <w:t xml:space="preserve"> автомобильных дорог и дорожных сооружений и применяемые дорожно-строительные материалы и изделия.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5. Требования настоящего технического регламента не распространяются на автомобильные дороги, не относящиеся к автомобильным дорогам общего пользования, такие, как автомобильные дороги промышленных, строительных, лесных и иных производственных предприятий, дороги, предназначенные для временного использования, дороги, расположенные в специальных зонах отчуждения и сооружаемые для нужд обороны или исключительно в спортивных целях.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Кроме того, технические требования настоящего технического регламента при проектировании (включая изыскания), строительстве, реконструкции, капитальном ремонте и эксплуатации также не распространяются на улицы населенных пунктов.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6. Автомобильная дорога визуально идентифицируется как объект,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сооружения. Для применения настоящего технического регламента автомобильные дороги идентифицируются по классам и техническим категориям по следующим признакам: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по условиям доступа на них транспортных средств;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по количеству и ширине полос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по наличию центральной разделительной полосы;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по типам пересечений с другими автомобильными дорогами, железными дорогами, трамвайными путями, велосипедными и пешеходными дорожками.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Все автомобильные дороги общего пользования государств - членов Таможенного союза должны иметь наименование с указанием начального, конечного, а при необходимости и промежуточного пунктов, индекс и номер в соответствии с установленным в государствах - членах Таможенного союза порядком обозначения автомобильных дорог общего пользования, присвоения им наименования, индекса и порядкового номера с учетом их значения, класса и категории.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Наименования и идентификационные номера автомобильных дорог, </w:t>
      </w:r>
      <w:r>
        <w:lastRenderedPageBreak/>
        <w:t>входящих в состав международной транспортной сети, устанавливаются в соответствии с международными договорами.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  <w:outlineLvl w:val="1"/>
      </w:pPr>
      <w:r>
        <w:t>Статья 2. Определения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>7. В настоящем техническом регламенте Таможенного союза применяются следующие термины и их определения: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"автомобильная дорога" -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"безопасность дорожного движения" - состояние дорожного движения, отражающее степень защищенности его участников от дорожно-транспортных происшествий и их последствий;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"габарит приближения" - предельное поперечное очертание свободного пространства в плоскости, перпендикулярной продольной оси проезжей части, внутрь которого не должны заходить какие-либо элементы сооружения или расположенных на них устройств;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"диагностика (оценка технического состояния) автомобильной дороги" - обследование, сбор и анализ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"доступ на автомобильную дорогу" -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"дорожное движение" - процесс перемещения людей и грузов с помощью транспортных средств или без таковых в пределах автомобильных дорог;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"дорожный знак" - техническое средство организации движения с обозначениями и/или надписями, информирующими участников дорожного движения о дорожных условиях и режимах движения, расположении населенных пунктов и других объектов;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"дорожная одежда" - конструктивный элемент автомобильной дороги, воспринимающий нагрузку от транспортных средств и передающий ее на земляное полотно;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"дорожная разметка" - линии, надписи и другие обозначения на проезжей </w:t>
      </w:r>
      <w:r>
        <w:lastRenderedPageBreak/>
        <w:t>части автомобильной дороги, искусственных сооружениях и элементах обустройства дорог, информирующие участников дорожного движения об условиях и режимах движения на участке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"дорожное ограждение" - устройство, предназначенное для обеспечения движения 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 в полосе отвода дороги, на разделительной полосе, снижения риска возможности падения пешеходов с дороги или мостового сооружения, а также для упорядочения движения пешеходов и предотвращения</w:t>
      </w:r>
      <w:proofErr w:type="gramEnd"/>
      <w:r>
        <w:t xml:space="preserve"> выхода животных на проезжую часть;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"дорожный светофор" - светосигнальное устройство, применяемое для регулирования очередности пропуска транспортных средств и пешеходов;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"дорожное сооружение" - инженерное (искусственное) сооружение (мост, путепровод, эстакада, тоннель, водопропускная труба и другие) для пропуска транспортных средств, пешеходов, животных в местах пересечения автомобильной дороги с естественным или искусственным препятствием;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"жизненный цикл" - период времени, за который выполняются совокупность процессов от момента проектирования автомобильной дороги, включая строительство (возведение) и содержание, до ее утилизации (ликвидации);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"земляное полотно" - конструктивный элемент, служащий основанием для размещения дорожной одежды, а также технических средств организации дорожного движения и обустройства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"инженерные изыскания" - процесс комплексного изучения природных и техногенных условий района проектирования автомобильной дороги, сбор материалов, необходимых для принятия обоснованных проектных решений;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"интенсивность движения" - количество транспортных средств, проходящих через поперечное сечение автомобильной дороги в единицу времени (за сутки или за один час);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"исполнительная документация" -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ремонта, по мере завершения определенных в проектной документации работ;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"капитальный ремонт автомобильной дороги"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>
        <w:lastRenderedPageBreak/>
        <w:t>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</w:t>
      </w:r>
      <w:proofErr w:type="gramEnd"/>
      <w:r>
        <w:t xml:space="preserve"> ее геометрические элементы;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"категория автомобильной дороги" - характеристика, определяющая технические параметры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"класс автомобильной дороги" - характеристика автомобильной дороги по условиям доступа на нее;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"конструктивный элемент" - конструкция, воспринимающая внешние и внутренние нагрузки и передающая их другим конструкциям или основанию;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"крупногабаритное транспортное средство" - транспортное средство с грузом или без груза, габариты которого по высоте, ширине или длине превышают установленные допустимые значения;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"направляющие устройства" - технические средства, предназначенные для зрительного ориентирования участников дорожного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"объекты дорожного сервиса" - здания и сооружения, расположенные в пределах полосы отвода и предназначенные для обслуживания участников дорожного движения (остановочные пункты автобусов, в том числе с павильонами, площадки для кратковременной остановки транспортных средств, площадки для отдыха со стоянками транспортных средств, устройства аварийно-вызывной связи и иные сооружения);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"объекты придорожного сервиса" - здания и сооружения, расположенные на придорожной полосе и предназначенные для обслуживания участников дорожного движения в пути следования (мотели, гостиницы, кемпинги, станции технического обслуживания, автозаправочные станции, пункты питания, торговли, связи, медицинской помощи, мойки, средства рекламы и иные сооружения);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"обочина" - элемент дороги, примыкающий непосредственно к проезжей части и предназначенный для обеспечения устойчивости земляного полотна, повышения безопасности дорожного движения, организации движения пешеходов и велосипедистов, а также использования при чрезвычайных ситуациях;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"остаточный риск" - риск, остающийся после </w:t>
      </w:r>
      <w:proofErr w:type="gramStart"/>
      <w:r>
        <w:t>предпринятых защитных мер</w:t>
      </w:r>
      <w:proofErr w:type="gramEnd"/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"площадка отдыха" - элемент обустройства автомобильной дороги, предназначенный для кратковременного отдыха водителей и пассажиров, проверки состояния транспортных средств и грузов, устранения мелких неисправностей;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"полоса отвода автомобильной дороги" - земельные участки (независимо от категории земель), которые предназначены для размещения </w:t>
      </w:r>
      <w:r>
        <w:lastRenderedPageBreak/>
        <w:t>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"придорожная полоса автомобильной дороги" - земельные участки,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движения, а также нормальных условий реконструкции, капитального ремонта и эксплуатации автомобильной дороги, ее сохранности с учетом перспектив развития автомобильной дороги;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"проектная документация" - документация, содержащая инженерно-технические, архитектурные, технологические, конструктивные, экономические, финансовые и иные решения по строительству, реконструкции, капитальному ремонту, эксплуатации автомобильных дорог и дорожных сооружений;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"приемка выполненных работ" - совокупность процедур, по определению и оценке показателей соответствия принимаемого объекта (работ) проектной документации;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"проектирование автомобильной дороги" - производственный процесс, состоящий из комплекса проектно-конструкторских работ и экономических расчетов и осуществляемый по материалам инженерных изысканий;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"проезжая часть автомобильной дороги" - конструктивный элемент автомобильной дороги, предназначенный для движения транспортных средств;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"расстояние видимости" - расстояние от передней части легкового транспортного средства, на котором с места водителя различаются конструктивные элементы дороги и другие предметы в направлении движения, ориентирование на которые позволяет вести транспортное средство по соответствующей полосе;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"разделительная полоса" - конструктивный элемент автомобильной дороги, разделяющий транспортные потоки по направлениям или составу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"реконструкция автомобильной дороги" - комплекс работ, при выполнении которых осуществляется изменение параметров автомобильной дороги, ее участков, ведущий к изменению класса и (или) категории автомобильной дороги, либо влекущей за собой изменение границы полосы отвода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"содержание автомобильной дороги" - комплекс работ по поддержанию нормативного технического состояния автомобильной дороги, а также по организации и обеспечению безопасности дорожного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"сохранность автомобильной дороги" - состояние целостности автомобильной дороги как технического сооружения и имущественного комплекса, обеспечивающее поддержание ее эксплуатационных свойств и безопасное использование;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"строительство автомобильной дороги" - комплекс технологических, инфраструктурных и управленческих процессов по сооружению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"строительный (производственный) контроль" - контроль соответствия выполняемых работ проектной документации и требованиям технических регламентов, проводимый в процессе строительства, реконструкции, капитального ремонта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"текущий ремонт автомобильной дороги"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"технические средства организации дорожного движения" -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"транспортно-эксплуатационные показатели автомобильной дороги" - комплекс фактических значений параметров технического уровня и эксплуатационного состояния дороги на момент ее обследования;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"тяжеловесное транспортное средство" - транспортное средство с грузом или без груза, общая масса которого и (или) масса, приходящаяся на одну ось, превышающее установленные допустимые значения;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"участники дорожного движения с ограниченными возможностями" - водители транспортных средств или пешеходы, испытывающие затруднения при самостоятельном передвижении, получении услуги, необходимой информации или при ориентировании в пространстве;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"эксплуатация автомобильной дороги" - комплекс мероприятий по текущему ремонту и содержанию автомобильной дороги, выполняемый в целях обеспечения ее сохранности для безопасного использования автомобильной дороги по ее прямому назначению;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"элементы обустройства" - комплекс зданий и сооружений обслуживания движения, технических средств и устройств, предназначенных для организации и обеспечения безопасности дорожного движения.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  <w:outlineLvl w:val="1"/>
      </w:pPr>
      <w:r>
        <w:t>Статья 3. Требования безопасности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lastRenderedPageBreak/>
        <w:t xml:space="preserve">8. </w:t>
      </w:r>
      <w:proofErr w:type="gramStart"/>
      <w:r>
        <w:t>Безопасность автомобильных дорог и дорожных сооружений на них, а также связанных с ними процессов проектирования (включая изыскания), строительства, реконструкции,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параметров, в т.ч. допустимых весовых и габаритных параметров транспортных средств, а также показателей прочности, надежности и устойчивости элементов в течение всего срока службы.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9. Настоящий технический регламент, с учетом степени риска причинения вреда, устанавливает минимально необходимые требования к автомобильным дорогам, выполнение которых достигается в процессе изысканий, проектирования, строительства, реконструкции, капитального ремонта и эксплуатации.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10. При изысканиях автомобильных дорог и сооружений на них должны соблюдаться следующие требования: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10.1. материалы о природно-климатических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10.2. материалы топографо-геодезических, инженерно-геологических, гидрологических, экологических, а при необходимости и других видов изыскательских работ должны содержать все необходимые данные: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для разработки основных технических решений по конструктивным элементам автомобильной дороги и дорожных сооружений, обеспечивающих безопасность на этапах их строительства, реконструкции, капитального ремонта и эксплуатации, а также разработки мероприятий по охране окружающей среды, проекта организации строительства;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для проведения расчетов оснований, фундаментов и конструкций дорожных сооружений, отверстий мостов и труб, прочности и устойчивости земляного полотна, дорожной одежды и других конструктивных элементов, а также для разработки иных мероприятий, связанных с безопасностью автомобильной дороги на стадиях ее проектирования, строительства, реконструкции, капитального ремонта и эксплуатации;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строительства, реконструкции, капитального ремонта и эксплуатации дороги.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 При проектировании автомобильных дорог и дорожных сооружений на них должны соблюдаться следующие требования: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11.1. проектирование автомобильных дорог проводится на основании требований задания на проектирование, исходных данных, выданных </w:t>
      </w:r>
      <w:r>
        <w:lastRenderedPageBreak/>
        <w:t>заказчиком, и материалов инженерных изысканий;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11.2. при проектировании автомобильных дорог необходимо обеспечивать: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а)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б)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оптимизацию строительных и эксплуатационных затрат в течение установленного жизненного цикла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д) соблюдение установленных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 эстетических, экономических, экологических и иных требований к объектам транспортной инфраструктуры, а также норм и правил по обеспечению сохранности памятников культурно-исторического наследия и мест захоронения погибших воинов;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соблюдение минимальных расстояний до запретных (опасных) зон и районов при взрывоопасных, пожароопасных и иных производственных объектах, а также до охранных зон объектов, расположенных рядом с проектируемой автомобильной дорогой;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ж) закономерное и плавное изменение характеристик дороги на участках достаточной протяженности, а места резкого изменения условий движения совмещать с архитектурными, рельефными и ландшафтными доминантами, населенными пунктами, транспортными развязками и иными элементами дороги или придорожной обстановки, при приближении к которым участники дорожного движения могут предвидеть эти изменения;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з) сокращение загрязнения окружающей среды, в том числе выбросов парниковых газов, за счет снижения вынужденного простоя автомобилей в заторах;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11.3. при проектировании автомобильных дорог в зонах, где невозможно исключить риски, связанные с воздействием опасных природных или техногенных процессов и явлений, необходимо: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прокладывать трассу автомобильной дороги по участкам местности, где указанные риски минимальны;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б)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строительства, реконструкции, капитального ремонта и эксплуатации;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применять материалы и конструкции, устраняющие или снижающие риск возникновения опасности при воздействии указанных процессов и явлений;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11.4. при расчетах конструктивных элементов автомобильных дорог, дорожных конструкций и оснований дорожных сооружений должны быть учтены следующие основные виды постоянных и временных нагрузок, действующие на указанные элементы, а также их основания и фундаменты: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от собственного веса конструктивных элементов автомобильной дороги и дорожных сооружений;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от транспортных средств и пешеходов;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от воздействия водного потока, в том числе волновые и ледовые нагрузки;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от воздействия ветра и атмосферных осадков;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д) от сейсмических воздействий;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от температурных воздействий;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ж) от осадок оснований и фундаментов, усадки материала конструктивных элементов;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ind w:firstLine="540"/>
        <w:jc w:val="both"/>
      </w:pPr>
      <w:r>
        <w:t>и) от строительно-монтажного, технологического, ремонтного и эксплуатационного оборудования;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11.5. требования безопасности к трассе автомобильной дороги: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параметры геометрических элементов плана, продольного и поперечного профиля должны назначаться исходя из расчетной скорости движения транспортных средств, принятой для данной категории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допустимый диапазон изменения расчетных скоростей, обеспечивающий безопасные условия движения, устанавливается дифференцированно для каждой категории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в) проектирование автомобильной дороги в плане и продольном профиле следует осуществлять как пространственную кривую, элементы которой гармонично сочетаются между собой и окружающим ландшафтом местности.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г)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</w:t>
      </w:r>
      <w:proofErr w:type="gramStart"/>
      <w:r>
        <w:t>категорий</w:t>
      </w:r>
      <w:proofErr w:type="gramEnd"/>
      <w:r>
        <w:t xml:space="preserve"> автомобильных дорог и условий движения.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д)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расстоянии, обеспечивающем безопасное и комфортное движение с разрешенной скоростью, своевременное информирование водителей об изменении направления движения, о приближении к местам, требующим повышенного внимания при вождении, исключать возможность возникновения зрительных иллюзий и ошибочных действий водителей;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е) параметры плана и продольного профиля должны обеспечивать видимость поверхности проезжей части и встречного автомобиля на расстояниях, не менее установленных для соответствующих категорий автомобильных дорог;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ж) кривые в плане должны обеспечивать зрительную плавность трассы и увязку ее с окружающим ландшафтом местности. Они могут иметь постоянную или переменную кривизну. Наименьшие радиусы кривых должны назначаться исходя из удобства и комфортабельности движения, а в стесненных условиях - устойчивости автомобиля при движении с расчетной скоростью по чистому и влажному дорожному покрытию. Радиусы смежных кривых в плане не должны отличаться друг от друга более чем в 1,3 раза;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11.6. автомобильная дорога должна иметь установленное количество полос движения, позволяющее обеспечить пропуск транспортного потока расчетной интенсивности с допустимым уровнем загрузки автомобильной дороги движением;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11.7. ширина полосы движения должна обеспечивать возможность безопасной реализации скорости движения, допускаемой в конкретных дорожных условиях для автомобильных дорог различного назначения, класса и категории, а также видов транспортных средств;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11.8. на дорогах всех категорий следует предусматривать устройство обочин, ширину которых следует назначать исходя из условий обеспечения: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а) устойчивости конструкции земляного полотна;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создания пространства, позволяющего избежать или снизить тяжесть последствия дорожно-транспортных происшествий;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реализации разрешенных скоростей движения для дорог различных классов и категорий, а также типов транспортных средств;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11.9. на автомобильных дорогах в зависимости от класса и категории дороги, а также на участках других автомобильных дорог, где запрещены остановки и стоянки автомобилей, должны проектироваться площадки для аварийной остановки автомобилей и иметь размеры, достаточные для размещения прогнозируемого количества автомобилей. </w:t>
      </w:r>
      <w:proofErr w:type="gramStart"/>
      <w:r>
        <w:t>Площадки должны быть оборудованы переходно-скоростными полосами, а расстояния между ними следует устанавливать в зависимости от интенсивности движения на дороге;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11.10. для обеспечения безопасности движения транспортных средств на крутых затяжных спусках вдоль полосы движения транспортных средств, идущих на спуск, должны быть предусмотрены площадки для вынужденной остановки в экстренных случаях, располагаемые через установленные интервалы;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11.11.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полотне.</w:t>
      </w:r>
      <w:proofErr w:type="gramEnd"/>
      <w:r>
        <w:t xml:space="preserve"> Минимальная ширина разделительной полосы в зависимости от класса и категории автомобильной дороги должна иметь размеры, необходимые для размещения полос безопасности и установки дорожных ограждений. При проектировании разделительной полосы должны быть обеспечены условия безопасного водоотвода с проезжей части;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11.12. поперечный уклон проезжей части и обочин автомобильной дороги должен обеспечивать сток поверхностных вод;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11.13.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средств, установленных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</w:t>
      </w:r>
      <w:proofErr w:type="gramEnd"/>
      <w:r>
        <w:t xml:space="preserve"> Показатели ровности и сцепных качеств дорожных покрытий должны соответствовать </w:t>
      </w:r>
      <w:r>
        <w:lastRenderedPageBreak/>
        <w:t>требованиям безопасного движения транспортных сре</w:t>
      </w:r>
      <w:proofErr w:type="gramStart"/>
      <w:r>
        <w:t>дств с р</w:t>
      </w:r>
      <w:proofErr w:type="gramEnd"/>
      <w:r>
        <w:t>азрешенной скоростью по автомобильным дорогам различных классов и категорий;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11.14.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движением, позволяющую водителю обеспечить безопасное совершение маневра или изменение режима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11.15.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дорожно-транспортных происшествий: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на участках автомобильной дороги, с высокими насыпями и (или) крутыми откосами земляного полотна, а также при близком расположении проходящих вдоль железных дорог, болот, оврагов, водных потоков, горных ущелий и склонов;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на автомагистралях и скоростных дорогах, а также разделительной полосе многополосных автомобильных дорог, транспортных развязках, кривых в плане с недостаточной видимостью;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на участках, проходящих по мостам, путепроводам, эстакадам и иным специальным дорожным сооружениям;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у опор путепроводов, линий электропередач, связи, освещения, отдельных дорожных знаков индивидуального исполнения, а также иных коммуникаций и сооружений, расположенных в непосредственной близости от проезжей части;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11.16. при проектировании автомобильных дорог, проходящих через населенные пункты, должны предусматриваться пешеходные дорожки или тротуары, а при необходимости и велосипедные дорожки.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дорог. При этом допускается организация совмещенного велосипедного и автомобильного движения на одной проезжей части в зависимости от разрешенной скорости, интенсивности и состава движения, а также способов разделения велосипедного и автомобильного движения и т.д.;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11.17.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в пределах населенных пунктов;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на пересечениях магистральных автомобильных дорог между собой и с железными дорогами;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в) на мостах, путепроводах и эстакадах длиной более 100 м;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на постах взимания платы за проезд на платных автомобильных дорогах;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д) в тоннелях и на подходах к ним;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на подъездах к сооружениям и объектам дорожного и придорожного сервиса;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ж) у постов транспортного и весогабаритного контроля, пограничной, таможенной, санитарно-эпидемиологической, ветеринарной и дорожно-патрульной службы;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11.18. при проектировании автомобильных дорог должно быть предусмотрено устройство площадок для кратковременного отдыха водителей и пассажиров в пути;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11.19. в местах остановок общественного транспорта при проектировании автомобильных дорог должны предусматриваться посадочные площадки или павильоны;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11.20. при проектировании параметров элементов плана и продольного профиля автомобильной дороги, обеспечивающих доступ к объектам дорожного и придорожного сервиса, не должны ухудшаться дорожные условия в зоне их расположения и возникать затруднения в организации дорожного движения, снижающие безопасность потребителей транспортных услуг;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11.21. при пересечении проектируемой автомобильной дороги с подземными инженерными коммуникациями должны быть предусмотрены меры, обеспечивающие сохранность этих коммуникаций под воздействием нагрузок, вызванных автомобильной дорогой, а также соблюдение размеров охранных зон, установленных для этих коммуникаций;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11.22. при проектировании следует предусматривать равную с остальными категориями населения возможность доступности всех видов услуг, предоставляемых автомобильными дорогами для всех категорий участников дорожного движения с ограниченными возможностями;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11.23. при проектировании новых и реконструкции существующих мостов следует принимать проектные решения, обеспечивающие: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надежность, долговечность и бесперебойность эксплуатации сооружений при движении транспортных средств, габаритные размеры и весовые параметры которых соответствуют требованиям, установленным государствами - членами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б) безопасность движения транспортных средств и пешеходов в период эксплуатации, а также строительных машин, механизмов, оборудования, безопасность и охрану труда рабочих в периоды строительства, </w:t>
      </w:r>
      <w:r>
        <w:lastRenderedPageBreak/>
        <w:t>реконструкции и капитального ремонта;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безопасный пропуск расходов и уровней воды расчетной вероятности превышения, расчетного ледохода, а на судоходных или сплавных реках соответствующего класса - требования безопасного судоходства и сплава;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охрану окружающей среды и поддержание ее экологического равновесия;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11.24.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дорог, а также габаритными размерами по ширине и высоте, весовыми параметрами транспортных средств, установленными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союза, классом и категорией пересекающихся или примыкающих дорог;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11.25. при проектировании мостов и путепроводов необходимо обеспечить: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соответствие поперечного профиля проезжей части на искусственном сооружении и на подходах к ним по ширине и количеству полос движения, а также характеристикам краевых или укрепленных полос на обочинах;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устройство виража и уширения проезжей части при расположении искусственных сооружений на кривых в плане малых радиусов;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безопасное расстояние от кромки проезжей части до ближайшей грани опоры путепроводов для автомобильных дорог различных классов и категорий, а также конструкций опор путепроводов;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при установке металлических ограждений расстояние от них до ближайшей грани опоры, необходимое для обеспечения прогиба ограждения при наезде на него автомобиля;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11.26. при проектировании тоннелей необходимо предусматривать соблюдение следующих требований безопасности: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тоннели длиной более 1000 м при отсутствии остановочных полос должны иметь местные уширения с площадками для аварийной остановки транспортных средств. При двустороннем движении площадки должны быть с каждой стороны тоннеля;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в тоннелях, не имеющих аварийных выходов, предусматривать тротуары или проходы, предназначенные для использования участниками дорожного движения в чрезвычайных ситуациях;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г) тоннели с раздельными стволами должны быть соединены друг с другом расположенными на одинаковом расстоянии поперечными стволами, предназначенными для прохода пешеходов и проезда машин и механизмов аварийно-спасательных служб;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д) предусматривать в тоннелях длиной более 1500 м у их порталов, а также внутри тоннеля специализированные помещения с санитарно-бытовыми устройствами для нужд служб эксплуатации и охраны, оборудованные средствами первой медицинской помощи, экстренной связи и пожаротушения и подачи технической воды;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местоположения устройств и сре</w:t>
      </w:r>
      <w:proofErr w:type="gramStart"/>
      <w:r>
        <w:t>дств дл</w:t>
      </w:r>
      <w:proofErr w:type="gramEnd"/>
      <w:r>
        <w:t>я обеспечения безопасности пользователей тоннелей должны быть обозначены соответствующими знаками безопасности. Направления движения к аварийным выходам, спасательным пунктам, аппаратам экстренной связи должны быть обозначены видимыми надписями и символами. При необходимости, знаки безопасности могут содержать иную информацию, необходимую для использования в чрезвычайных ситуациях;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ж)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движения, в том числе при возникновении дорожно-транспортных происшествий и иных чрезвычайных ситуаций;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з) предусматривать перед въездом в тоннель и после выезда из него, а также в тоннелях с двумя и более стволами разрыв в дорожном ограждении для проезда машин и механизмов аварийно-спасательных служб;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11.27.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контроля, а также специализированных стоянок для хранения задержанных транспортных средств до устранения причин задержания;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11.28. мосты, путепроводы,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сооружения, обнаружения и извещения о пожаре, противодымной защиты и автоматизированного пожаротушения.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12. При строительстве, реконструкции и капитальном ремонте (далее - строительстве) автомобильных дорог и сооружений на них должны соблюдаться следующие требования: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строительство автомобильной дороги должно осуществляться в строгом соответствии с проектной документацией на землях, отведенных под эти цели уполномоченными органами по землепользованию на всех этапах жизненного цикла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б) применяемые при строительстве автомобильной дороги материалы и изделия должны обеспечивать выполнение дорожно-строительных работ в соответствии с проектной документацией;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в) по завершении строительных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материалов и изделий, временных дорожных знаков и 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назначению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земельным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 К требованиям безопасности к автомобильным дорогам и дорожным сооружениям на них при их эксплуатации относятся следующие: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13.1.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обеспечения сохранности автомобильных дорог и дорожных сооружений на них при воздействии транспортных, эксплуатационных, природно-климатических, чрезвычайных и других факторов в течение их жизненного цикла;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организации дорожного движения с использованием комплекса технических средств;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проведения работ по поддержанию эксплуатационного состояния проезжей части, соответствующего безопасному и бесперебойному дорожному движению;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своевременного 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д) своевременного информирования участников дорожного движения об изменениях в организации движения, в том числе связанных с проведением дорожных работ, сезонными ограничениями движения, стихийными бедствиями, техногенными катастрофами и авариями или другими обстоятельствами;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е) обеспечения доступности информации о допустимых весовых и габаритных параметров транспортных средств,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ж) защиты участков автомобильных дорог от снежных или песчаных </w:t>
      </w:r>
      <w:r>
        <w:lastRenderedPageBreak/>
        <w:t>заносов, предупреждения образования на покрытии снежной корки и гололеда, облегчения уборки снежно-ледяных отложений и ликвидации зимней скользкости дорожных покрытий с применением противогололедных материалов;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з) введения допустимых весовых и габаритных параметров транспортных сре</w:t>
      </w:r>
      <w:proofErr w:type="gramStart"/>
      <w:r>
        <w:t>дств дл</w:t>
      </w:r>
      <w:proofErr w:type="gramEnd"/>
      <w:r>
        <w:t>я обеспечения сохранности эксплуатируемых автомобильных дорог и дорожных сооружений на них;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и) введения временных ограничений движения в целях обеспечения безопасности движения при опасных природных явлениях или угрозе их возникновения, при аварийных ситуациях на дорогах, при проведении дорожных и аварийно-восстановительных работ, в случае выявления дефектов и </w:t>
      </w:r>
      <w:proofErr w:type="gramStart"/>
      <w:r>
        <w:t>повреждений</w:t>
      </w:r>
      <w:proofErr w:type="gramEnd"/>
      <w:r>
        <w:t xml:space="preserve"> автомобильных дорог и дорожных сооружений, создающих угрозу безопасности дорожного движения, а также в целях обеспечения сохранности автомобильных дорог в период возникновения неблагоприятных природно-климатических условий, вызывающих снижение несущей способности конструктивных элементов автомобильной дороги, ее участков и образование дефектов дорожной одежды;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13.2. автомобильная дорога и дорожные сооружения на ней при эксплуатации должны соответствовать следующим требованиям безопасности: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4" w:name="P254"/>
      <w:bookmarkEnd w:id="4"/>
      <w:r>
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</w:r>
      <w:proofErr w:type="gramStart"/>
      <w:r>
        <w:t>дств с р</w:t>
      </w:r>
      <w:proofErr w:type="gramEnd"/>
      <w:r>
        <w:t>азрешенной скоростью и представляющие опасность для потребителей транспортных услуг или третьих лиц.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Предельно допустимые значения повреждений и сроки ликвидации факторов, затрудняющих движение транспортных сре</w:t>
      </w:r>
      <w:proofErr w:type="gramStart"/>
      <w:r>
        <w:t>дств с р</w:t>
      </w:r>
      <w:proofErr w:type="gramEnd"/>
      <w:r>
        <w:t>азрешенной скоростью,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Водоотвод с проезжей части должен находиться в состоянии, исключающем застой воды на покрытии и обочинах;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</w:t>
      </w:r>
      <w:r>
        <w:lastRenderedPageBreak/>
        <w:t>эксплуатационного состояния установленным требованиям.</w:t>
      </w:r>
      <w:proofErr w:type="gramEnd"/>
      <w:r>
        <w:t xml:space="preserve">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</w:t>
      </w:r>
      <w:proofErr w:type="gramStart"/>
      <w:r>
        <w:t>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г) возвышение обочины и разделительной полосы над уровнем проезжей части при отсутствии бордюра не допускается. </w:t>
      </w:r>
      <w:proofErr w:type="gramStart"/>
      <w:r>
        <w:t>Обочины и разделительные полосы, не отделенные от проезжей части бордюром, не должны быть ниже уровня прилегающей кромки проезжей части более чем на 4 см;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д) обочины не должны иметь деформаций, повреждений, указанных в </w:t>
      </w:r>
      <w:hyperlink w:anchor="P254">
        <w:r>
          <w:rPr>
            <w:color w:val="0000FF"/>
          </w:rPr>
          <w:t>пункте 13.2 подпункта а</w:t>
        </w:r>
      </w:hyperlink>
      <w:r>
        <w:t>) настоящей статьи для дорожных покрытий.</w:t>
      </w:r>
      <w:proofErr w:type="gramEnd"/>
      <w:r>
        <w:t xml:space="preserve">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13.3. 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13.4. при эксплуатации тоннелей необходимо соблюдать следующие требования: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своевременную ликвидацию повреждений тоннельной обделки (стен тоннеля), создающих угрозу его безопасной эксплуатации;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б) поддержание в работоспособном состоянии электроосвещения, связи и громкоговорящего оповещения, автоматизированных систем, обеспечивающих организацию и безопасность дорожного движения, а также систем управления комплексом инженерной защиты от несанкционированного доступа в притоннельные сооружения, обнаружения и извещения о пожаре, противодымной защиты и автоматизированного пожаротушения;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своевременное оповещение потребителей транспортных услуг и немедленное закрытие тоннеля при угрозе возникновении в нем чрезвычайной ситуации;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13.5. технические средства организации дорожного движения должны соответствовать следующим требованиям безопасности: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дорожные знаки.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Дорожные знаки должны обладать 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видимость.</w:t>
      </w:r>
      <w:proofErr w:type="gramEnd"/>
      <w:r>
        <w:t xml:space="preserve">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движения. 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 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дорожная разметка.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</w:t>
      </w:r>
      <w:r>
        <w:lastRenderedPageBreak/>
        <w:t>разметочных материалов и изделий в соответствии с установленными условиями их применения;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дорожные светофоры.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Минимальная видимость сигналов дорожных светофоров, включая символы, используемые на рассеивателях сигналов, должна обеспечивать водителям транспортных средств возможность безопасного совершения маневра или </w:t>
      </w:r>
      <w:proofErr w:type="gramStart"/>
      <w:r>
        <w:t>остановки</w:t>
      </w:r>
      <w:proofErr w:type="gramEnd"/>
      <w:r>
        <w:t xml:space="preserve"> как в светлое, так и в темное время суток. Элементы дорожного светофора и его крепления не должны иметь повреждений, влияющих на видимость сигналов.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</w:t>
      </w:r>
      <w:proofErr w:type="gramEnd"/>
      <w:r>
        <w:t xml:space="preserve"> требований принятого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направляющие устройства.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д) системы сигнализации на железнодорожных переездах.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Системы сигнализации на железнодорожных переездах должны </w:t>
      </w:r>
      <w:r>
        <w:lastRenderedPageBreak/>
        <w:t>обеспечивать восприятие их органами зрения и слуха участников дорожного движения при штатных условиях эксплуатации автомобильной дороги.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скоростью. Системы сигнализации на железнодорожных переездах не должны иметь повреждений, влияющих на их зрительное и слуховое восприятие;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е) временные технические средства организации дорожного движения.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</w:t>
      </w:r>
      <w:proofErr w:type="gramEnd"/>
      <w:r>
        <w:t xml:space="preserve"> ограничивающих факторов.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После устранения причин, вызвавших необходимость применения временных технических сре</w:t>
      </w:r>
      <w:proofErr w:type="gramStart"/>
      <w:r>
        <w:t>дств пр</w:t>
      </w:r>
      <w:proofErr w:type="gramEnd"/>
      <w:r>
        <w:t>и организации дорожного движения, они должны быть демонтированы;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13.6. ограждения на автомобильных дорогах.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13.7. горизонтальная освещенность от искусственного освещения.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Замену вышедшего из строя источника света искусственного освещения </w:t>
      </w:r>
      <w:r>
        <w:lastRenderedPageBreak/>
        <w:t>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13.8. средства наружной рекламы.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С целью </w:t>
      </w:r>
      <w:proofErr w:type="gramStart"/>
      <w:r>
        <w:t>обеспечения безопасности дорожного движения средства наружной рекламы</w:t>
      </w:r>
      <w:proofErr w:type="gramEnd"/>
      <w:r>
        <w:t xml:space="preserve"> не должны: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размещаться на дорожном знаке, его опоре или на любом другом приспособлении, предназначенном для регулирования движения;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ухудшать видимость средств регулирования дорожного движения или снижать их эффективность;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освещаться в темное время суток на участках дорог, где дорожные знаки не имеют искусственного освещения;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размещаться в зоне транспортных развязок, пересечений и </w:t>
      </w:r>
      <w:proofErr w:type="gramStart"/>
      <w:r>
        <w:t>примыканий</w:t>
      </w:r>
      <w:proofErr w:type="gramEnd"/>
      <w:r>
        <w:t xml:space="preserve"> автомобильных дорог, железнодорожных переездов и искусственных сооружений ближе расчетного расстояния видимости от них;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13.9. 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мм. 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lastRenderedPageBreak/>
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На лавиноопасных участках горных автомобильных дорог должны быть </w:t>
      </w:r>
      <w:proofErr w:type="gramStart"/>
      <w:r>
        <w:t>предприняты меры</w:t>
      </w:r>
      <w:proofErr w:type="gramEnd"/>
      <w:r>
        <w:t xml:space="preserve"> по своевременному предупреждению и ликвидации лавинной опасности, а также устройству необходимых противолавинных сооружений;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13.10. движение по автомобильным дорогам крупногабаритных и тяжеловесных транспортных средств допускается только при наличии специальных разрешений, выданных уполномоченными органами государств - членов Таможенного союза.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w:anchor="P30">
              <w:r>
                <w:rPr>
                  <w:color w:val="0000FF"/>
                </w:rPr>
                <w:t>пунктом 4</w:t>
              </w:r>
            </w:hyperlink>
            <w:r>
              <w:rPr>
                <w:color w:val="392C69"/>
              </w:rPr>
              <w:t xml:space="preserve"> данного документа </w:t>
            </w:r>
            <w:proofErr w:type="gramStart"/>
            <w:r>
              <w:rPr>
                <w:color w:val="392C69"/>
              </w:rPr>
              <w:t>с даты вступления</w:t>
            </w:r>
            <w:proofErr w:type="gramEnd"/>
            <w:r>
              <w:rPr>
                <w:color w:val="392C69"/>
              </w:rPr>
              <w:t xml:space="preserve"> в силу отдельного технического регламента Таможенного союза на строительные материалы и изделия в отношении дорожно-строительных материалов пункт 14 статьи 3 не применяется.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ind w:firstLine="540"/>
        <w:jc w:val="both"/>
      </w:pPr>
      <w:bookmarkStart w:id="5" w:name="P309"/>
      <w:bookmarkEnd w:id="5"/>
      <w:r>
        <w:t>14. К общим требованиям по безопасности дорожно-строительных материалов и изделий, применяемых при строительстве, реконструкции, капитальном ремонте и эксплуатации, относится следующее: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14.1. дорожно-строительные материалы и изделия, производимые и импортируемые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14.2. 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разрушение автомобильной дороги или сооружений, или их участков (частей);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б) необратимые деформации дорожных конструкций;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в) недопустимое снижение основных транспортно-эксплуатационных </w:t>
      </w:r>
      <w:r>
        <w:lastRenderedPageBreak/>
        <w:t>характеристик автомобильной дороги или сооружений на ней;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14.3. 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14.4. 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</w:t>
      </w:r>
      <w:proofErr w:type="gramEnd"/>
      <w:r>
        <w:t xml:space="preserve"> на добровольной основе обеспечивается соблюдение требований принятого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14.5. строительство, реконструкция, 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настоящего технического регламента и проектной документации.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  <w:outlineLvl w:val="1"/>
      </w:pPr>
      <w:r>
        <w:t>Статья 4. Презумпция соответствия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</w:t>
      </w:r>
      <w:r>
        <w:lastRenderedPageBreak/>
        <w:t>международных и региональных стандартов, а в случае их отсутствия - национальных (государственных) стандартов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(подтверждения) соответствия.</w:t>
      </w:r>
      <w:proofErr w:type="gramEnd"/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  <w:outlineLvl w:val="1"/>
      </w:pPr>
      <w:r>
        <w:t>Статья 5. Оценка соответствия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>16.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а) при инженерных изысканиях и разработке проектной документации автомобильных дорог - в форме экспертизы;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б) при строительстве, реконструкции и капитальном ремонте автомобильных дорог - в формах строительного (производственного) </w:t>
      </w:r>
      <w:proofErr w:type="gramStart"/>
      <w:r>
        <w:t>контроля за</w:t>
      </w:r>
      <w:proofErr w:type="gramEnd"/>
      <w:r>
        <w:t xml:space="preserve"> выполнением работ, промежуточной приемки выполненных дорожно-строительных работ и (или) конструктивных элементов, приемки и ввода в эксплуатацию законченных объектов или их отдельных участков;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в) при эксплуатации автомобильных дорог, дорожных сооружений на них и элементов обустройства - в формах текущего контроля состояния автомобильной дороги и дорожных сооружений на ней и элементов обустройства, а также приемки выполненных работ по их ремонту и содержанию;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г) для дорожно-строительных материалов и изделий - в формах испытания (входной контроль) и подтверждения соответствия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Порядок и процедура осуществления оценки соответствия проводится до принятия соответствующего решения Комиссии Таможенного союза, в соответствии с законодательством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Порядок и процедура осуществления подтверждения соответствия для дорожно-строительных материалов и изделий проводится в соответствии с </w:t>
      </w:r>
      <w:hyperlink w:anchor="P363">
        <w:r>
          <w:rPr>
            <w:color w:val="0000FF"/>
          </w:rPr>
          <w:t>п. 24</w:t>
        </w:r>
      </w:hyperlink>
      <w:r>
        <w:t xml:space="preserve"> настоящего технического регламента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17. Экспертиза результатов инженерных изысканий.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изысканий, характеристику полноты и достоверности результатов инженерных изысканий, а также возможности принятия на их основе проектных решений,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регламента.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18. Экспертиза проектной документации.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проектирование,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Проектная документация до ее утверждения рассматривается заказчиком.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проектирования, строительства, реконструкции, капитального ремонта и эксплуатации автомобильной дороги.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19. Строительный (производственный) контроль (далее - строительный) за выполнением работ по строительству реконструкции и капитальному ремонту автомобильных дорог и сооружений на них.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Для осуществления строительного контроля заказчик может привлекать независимые и компетентные организации.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Строительный контроль проводится заказчиком, а также юридическим лицом, осуществляющим строительство (подрядчиком).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По результатам проведения строительного контроля составляются соответствующие акты освидетельствования отдельных видов работ и (или) конструкций.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При проведении строительного контроля проводятся необходимые исследования, испытания и измерения с применением соответствующих методов и средств измерений. Средства измерений, а также методы, используемые для строительного контроля, должны соответствовать требованиям, установленным законодательствами государств - членов Таможенного союза в области обеспечения единства измерений.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срока, установленного </w:t>
      </w:r>
      <w:hyperlink r:id="rId27">
        <w:r>
          <w:rPr>
            <w:color w:val="0000FF"/>
          </w:rPr>
          <w:t>законодательствами</w:t>
        </w:r>
      </w:hyperlink>
      <w:r>
        <w:t xml:space="preserve">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20. Промежуточная приемка выполненных дорожно-строительных работ и (или) конструктивных элементов.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Промежуточная приемка выполненных дорожно-строительных работ производится с целью определения соответствия выполненных дорожно-строительных работ утвержденной проектной документации и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По результатам проведения промежуточной приемки выполненных дорожно-строительных работ и (или)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Перечни конкретных видов работ, относящихся к той или иной промежуточной приемке выполненных работ, должны быть определены проектной документацией и разработаны подрядчиком в составе исполнительной документации и согласованы с заказчиком.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До проведения промежуточной приемки выполненных дорожно-строительных работ и (или) конструктивных элементов выполнение последующих работ на этом участке автомобильной дороги запрещается.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21. Приемка и ввод в эксплуатацию законченных строительством (реконструированных, капитально отремонтированных) автомобильных дорог и сооружений на них.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Приемке в эксплуатацию подлежат законченные строительством, реконструкцией и капитальным ремонтом автомобильные дороги или их участки, имеющие самостоятельное транспортное значение, при условии их соответствия утвержденной в установленном порядке проектной документации, а также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На построенных (реконструированных)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22. Текущий контроль состояния автомобильной дороги и сооружений на ней.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Текущий контроль состояния автомобильной дороги и сооружений на ней осуществляется заказчиком путем периодических осмотров, а также диагностики автомобильных дорог с выявлением и учетом имеющихся дефектов конструктивных элементов автомобильных дорог, оценкой качества их содержания и эксплуатационного состояния, в порядке, установленном международными и региональными стандартами, а в случае их отсутствия - национальными (государственными) стандартами государств - членов Таможенного союза, в результате применения которых на</w:t>
      </w:r>
      <w:proofErr w:type="gramEnd"/>
      <w:r>
        <w:t xml:space="preserve"> добровольной основе обеспечивается соблюдение требований настоящего технического регламента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23. Приемка выполненных работ по ремонту и содержанию </w:t>
      </w:r>
      <w:r>
        <w:lastRenderedPageBreak/>
        <w:t>автомобильной дороги и сооружений на ней производится путем оценки уровня их содержания.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недостатков. По результатам проведения приемки работ по ремонту и содержанию автомобильной дороги и сооружений на ней составляется соответствующий акт.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w:anchor="P30">
              <w:r>
                <w:rPr>
                  <w:color w:val="0000FF"/>
                </w:rPr>
                <w:t>пунктом 4</w:t>
              </w:r>
            </w:hyperlink>
            <w:r>
              <w:rPr>
                <w:color w:val="392C69"/>
              </w:rPr>
              <w:t xml:space="preserve"> данного документа </w:t>
            </w:r>
            <w:proofErr w:type="gramStart"/>
            <w:r>
              <w:rPr>
                <w:color w:val="392C69"/>
              </w:rPr>
              <w:t>с даты вступления</w:t>
            </w:r>
            <w:proofErr w:type="gramEnd"/>
            <w:r>
              <w:rPr>
                <w:color w:val="392C69"/>
              </w:rPr>
              <w:t xml:space="preserve"> в силу отдельного технического регламента Таможенного союза на строительные материалы и изделия в отношении дорожно-строительных материалов пункт 24 статьи 5 не применяется.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ind w:firstLine="540"/>
        <w:jc w:val="both"/>
      </w:pPr>
      <w:bookmarkStart w:id="6" w:name="P363"/>
      <w:bookmarkEnd w:id="6"/>
      <w:r>
        <w:t>24. Подтверждение соответствия дорожно-строительных материалов и изделий осуществляется в соответствии с унифицированными процедурами, утвержденными Комиссией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24.1. дорожно-строительные материалы и изделия, поступающие для строительства, реконструкции, капитального ремонта и </w:t>
      </w:r>
      <w:proofErr w:type="gramStart"/>
      <w:r>
        <w:t>эксплуатации</w:t>
      </w:r>
      <w:proofErr w:type="gramEnd"/>
      <w:r>
        <w:t xml:space="preserve">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испытаний на соответствие требованиям проектной документации и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Подрядчик несет ответственность за качество поступающих на объект материалов и изделий. Подрядчик имеет право провести полный перечень испытаний поступающих материалов и изделий на соответствие требованиям проектной документации. Заказчик проводит выборочные испытания поступающих материалов и изделий на соответствие требованиям проектной документации.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Подтверждение соответствия дорожно-строительных материалов и изделий осуществляется по схемам в соответствии с </w:t>
      </w:r>
      <w:hyperlink r:id="rId28">
        <w:r>
          <w:rPr>
            <w:color w:val="0000FF"/>
          </w:rPr>
          <w:t>Положением</w:t>
        </w:r>
      </w:hyperlink>
      <w:r>
        <w:t xml:space="preserve">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7" w:name="P368"/>
      <w:bookmarkEnd w:id="7"/>
      <w:r>
        <w:t xml:space="preserve">24.2. дорожно-строительные материалы, включенные в Перечень, приведенный в </w:t>
      </w:r>
      <w:hyperlink w:anchor="P462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подлежат подтверждению соответствия в форме декларирования соответствия </w:t>
      </w:r>
      <w:r>
        <w:lastRenderedPageBreak/>
        <w:t>(</w:t>
      </w:r>
      <w:hyperlink r:id="rId29">
        <w:r>
          <w:rPr>
            <w:color w:val="0000FF"/>
          </w:rPr>
          <w:t>схема 1д</w:t>
        </w:r>
      </w:hyperlink>
      <w:r>
        <w:t xml:space="preserve">, </w:t>
      </w:r>
      <w:hyperlink r:id="rId30">
        <w:r>
          <w:rPr>
            <w:color w:val="0000FF"/>
          </w:rPr>
          <w:t>3д</w:t>
        </w:r>
      </w:hyperlink>
      <w:r>
        <w:t xml:space="preserve">, </w:t>
      </w:r>
      <w:hyperlink r:id="rId31">
        <w:r>
          <w:rPr>
            <w:color w:val="0000FF"/>
          </w:rPr>
          <w:t>4д</w:t>
        </w:r>
      </w:hyperlink>
      <w:r>
        <w:t xml:space="preserve">). </w:t>
      </w:r>
      <w:hyperlink r:id="rId32">
        <w:r>
          <w:rPr>
            <w:color w:val="0000FF"/>
          </w:rPr>
          <w:t>Схема 1д</w:t>
        </w:r>
      </w:hyperlink>
      <w:r>
        <w:t xml:space="preserve"> и </w:t>
      </w:r>
      <w:hyperlink r:id="rId33">
        <w:r>
          <w:rPr>
            <w:color w:val="0000FF"/>
          </w:rPr>
          <w:t>3д</w:t>
        </w:r>
      </w:hyperlink>
      <w:r>
        <w:t xml:space="preserve"> - для серийно выпускаемой продукции, </w:t>
      </w:r>
      <w:hyperlink r:id="rId34">
        <w:r>
          <w:rPr>
            <w:color w:val="0000FF"/>
          </w:rPr>
          <w:t>схема 4д</w:t>
        </w:r>
      </w:hyperlink>
      <w:r>
        <w:t xml:space="preserve"> - для партии продукции.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</w:t>
      </w:r>
      <w:proofErr w:type="gramEnd"/>
      <w:r>
        <w:t xml:space="preserve"> союза (лицо, выполняющее функции иностранного изготовителя);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24.3. изделия, включенные в Перечень, приведенный в </w:t>
      </w:r>
      <w:hyperlink w:anchor="P505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 Таможенного союза, подлежат подтверждению соответствия в форме сертификации (</w:t>
      </w:r>
      <w:hyperlink r:id="rId35">
        <w:r>
          <w:rPr>
            <w:color w:val="0000FF"/>
          </w:rPr>
          <w:t>схема 1с</w:t>
        </w:r>
      </w:hyperlink>
      <w:r>
        <w:t xml:space="preserve">, </w:t>
      </w:r>
      <w:hyperlink r:id="rId36">
        <w:r>
          <w:rPr>
            <w:color w:val="0000FF"/>
          </w:rPr>
          <w:t>3с</w:t>
        </w:r>
      </w:hyperlink>
      <w:r>
        <w:t>).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>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</w:t>
      </w:r>
      <w:proofErr w:type="gramEnd"/>
      <w:r>
        <w:t xml:space="preserve"> Таможенного союза (лицо, выполняющее функции иностранного изготовителя).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24.4. по решению заявителя вместо декларирования соответствия дорожно-строительных материалов, включенных в </w:t>
      </w:r>
      <w:hyperlink w:anchor="P462">
        <w:r>
          <w:rPr>
            <w:color w:val="0000FF"/>
          </w:rPr>
          <w:t>Перечень</w:t>
        </w:r>
      </w:hyperlink>
      <w:r>
        <w:t xml:space="preserve">, указанный в </w:t>
      </w:r>
      <w:hyperlink w:anchor="P368">
        <w:r>
          <w:rPr>
            <w:color w:val="0000FF"/>
          </w:rPr>
          <w:t>п. 24.2 статьи 5</w:t>
        </w:r>
      </w:hyperlink>
      <w:r>
        <w:t xml:space="preserve"> настоящего технического регламента, может быть проведена сертификация по схемам сертификации, эквивалентным схемам декларирования соответствия, предусмотренным для изделий настоящим техническим регламентом,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24.5. декларация о соответствии или сертификат соответствия является единственным документом, подтверждающим соответствие дорожно-строительных материалов и изделий требованиям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Декларация о соответствии и сертификат соответствия имеют равную </w:t>
      </w:r>
      <w:r>
        <w:lastRenderedPageBreak/>
        <w:t>юридическую силу и действуют на единой таможенной территории Таможенного союза в отношении дорожно-строительных материалов и изделий, выпускаемых в обращение на единой таможенной территории Таможенного союза во время действия декларации о соответствии или сертификата соответствия;</w:t>
      </w:r>
    </w:p>
    <w:p w:rsidR="005756AC" w:rsidRDefault="005756AC">
      <w:pPr>
        <w:pStyle w:val="ConsPlusNormal"/>
        <w:spacing w:before="260"/>
        <w:ind w:firstLine="540"/>
        <w:jc w:val="both"/>
      </w:pPr>
      <w:bookmarkStart w:id="8" w:name="P376"/>
      <w:bookmarkEnd w:id="8"/>
      <w:r>
        <w:t>24.6. 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стандарт организации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сертификат на систему менеджмента изготовителя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протоколы испытаний дорожно-строительных материалов и изделий,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сертификаты соответствия на материалы и комплектующие изделия или протоколы их испытаний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сертификаты соответствия на данные дорожно-строительные материалы и изделия, полученные от зарубежных органов по сертификации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другие документы, прямо или косвенно подтверждающие соответствие дорожно-строительных материалов и изделий требованиям безопасности настоящего технического регламента (при наличии);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24.7. декларирование соответствия дорожно-строительных материалов по </w:t>
      </w:r>
      <w:hyperlink r:id="rId37">
        <w:r>
          <w:rPr>
            <w:color w:val="0000FF"/>
          </w:rPr>
          <w:t>схемам 1д</w:t>
        </w:r>
      </w:hyperlink>
      <w:r>
        <w:t xml:space="preserve">, </w:t>
      </w:r>
      <w:hyperlink r:id="rId38">
        <w:r>
          <w:rPr>
            <w:color w:val="0000FF"/>
          </w:rPr>
          <w:t>3д</w:t>
        </w:r>
      </w:hyperlink>
      <w:r>
        <w:t xml:space="preserve">, </w:t>
      </w:r>
      <w:hyperlink r:id="rId39">
        <w:r>
          <w:rPr>
            <w:color w:val="0000FF"/>
          </w:rPr>
          <w:t>4д</w:t>
        </w:r>
      </w:hyperlink>
      <w:r>
        <w:t xml:space="preserve"> осуществляется на основании: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собственных доказательств </w:t>
      </w:r>
      <w:hyperlink r:id="rId40">
        <w:r>
          <w:rPr>
            <w:color w:val="0000FF"/>
          </w:rPr>
          <w:t>(схема 1д)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</w:t>
      </w:r>
      <w:hyperlink r:id="rId41">
        <w:r>
          <w:rPr>
            <w:color w:val="0000FF"/>
          </w:rPr>
          <w:t>схемы 3д</w:t>
        </w:r>
      </w:hyperlink>
      <w:r>
        <w:t xml:space="preserve">, </w:t>
      </w:r>
      <w:hyperlink r:id="rId42">
        <w:r>
          <w:rPr>
            <w:color w:val="0000FF"/>
          </w:rPr>
          <w:t>4д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проведения испытаний дорожно-строительных материалов и производственного контроля изготовителем (</w:t>
      </w:r>
      <w:hyperlink r:id="rId43">
        <w:r>
          <w:rPr>
            <w:color w:val="0000FF"/>
          </w:rPr>
          <w:t>схемы 3д</w:t>
        </w:r>
      </w:hyperlink>
      <w:r>
        <w:t xml:space="preserve">, </w:t>
      </w:r>
      <w:hyperlink r:id="rId44">
        <w:r>
          <w:rPr>
            <w:color w:val="0000FF"/>
          </w:rPr>
          <w:t>4д</w:t>
        </w:r>
      </w:hyperlink>
      <w:r>
        <w:t>).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Испытания дорожно-строительных материалов (</w:t>
      </w:r>
      <w:hyperlink r:id="rId45">
        <w:r>
          <w:rPr>
            <w:color w:val="0000FF"/>
          </w:rPr>
          <w:t>схемы 3д</w:t>
        </w:r>
      </w:hyperlink>
      <w:r>
        <w:t xml:space="preserve">, </w:t>
      </w:r>
      <w:hyperlink r:id="rId46">
        <w:r>
          <w:rPr>
            <w:color w:val="0000FF"/>
          </w:rPr>
          <w:t>4д</w:t>
        </w:r>
      </w:hyperlink>
      <w:r>
        <w:t>) проводятся аккредитованной испытательной лабораторией, включенной в Единый реестр органов по сертификации и испытательных лабораторий (центров)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 xml:space="preserve">Декларирование соответствия дорожно-строительных материалов, выпускаемых серийно, осуществляет изготовитель (уполномоченное изготовителем лицо) по </w:t>
      </w:r>
      <w:hyperlink r:id="rId47">
        <w:r>
          <w:rPr>
            <w:color w:val="0000FF"/>
          </w:rPr>
          <w:t>схемам 1д</w:t>
        </w:r>
      </w:hyperlink>
      <w:r>
        <w:t xml:space="preserve">, </w:t>
      </w:r>
      <w:hyperlink r:id="rId48">
        <w:r>
          <w:rPr>
            <w:color w:val="0000FF"/>
          </w:rPr>
          <w:t>3д</w:t>
        </w:r>
      </w:hyperlink>
      <w:r>
        <w:t xml:space="preserve">, партии - </w:t>
      </w:r>
      <w:hyperlink r:id="rId49">
        <w:r>
          <w:rPr>
            <w:color w:val="0000FF"/>
          </w:rPr>
          <w:t>4д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24.8. при проведении декларирования соответствия по схемам (</w:t>
      </w:r>
      <w:hyperlink r:id="rId50">
        <w:r>
          <w:rPr>
            <w:color w:val="0000FF"/>
          </w:rPr>
          <w:t>1д</w:t>
        </w:r>
      </w:hyperlink>
      <w:r>
        <w:t xml:space="preserve">, </w:t>
      </w:r>
      <w:hyperlink r:id="rId51">
        <w:r>
          <w:rPr>
            <w:color w:val="0000FF"/>
          </w:rPr>
          <w:t>3д</w:t>
        </w:r>
      </w:hyperlink>
      <w:r>
        <w:t xml:space="preserve">, </w:t>
      </w:r>
      <w:hyperlink r:id="rId52">
        <w:r>
          <w:rPr>
            <w:color w:val="0000FF"/>
          </w:rPr>
          <w:t>4д</w:t>
        </w:r>
      </w:hyperlink>
      <w:r>
        <w:t>) осуществляются следующие действия: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формирование и анализ технической документации (</w:t>
      </w:r>
      <w:hyperlink r:id="rId53">
        <w:r>
          <w:rPr>
            <w:color w:val="0000FF"/>
          </w:rPr>
          <w:t>схемы 1д</w:t>
        </w:r>
      </w:hyperlink>
      <w:r>
        <w:t xml:space="preserve">, </w:t>
      </w:r>
      <w:hyperlink r:id="rId54">
        <w:r>
          <w:rPr>
            <w:color w:val="0000FF"/>
          </w:rPr>
          <w:t>3д</w:t>
        </w:r>
      </w:hyperlink>
      <w:r>
        <w:t xml:space="preserve">, </w:t>
      </w:r>
      <w:hyperlink r:id="rId55">
        <w:r>
          <w:rPr>
            <w:color w:val="0000FF"/>
          </w:rPr>
          <w:t>4д</w:t>
        </w:r>
      </w:hyperlink>
      <w:r>
        <w:t xml:space="preserve">) с учетом положений </w:t>
      </w:r>
      <w:hyperlink w:anchor="P376">
        <w:r>
          <w:rPr>
            <w:color w:val="0000FF"/>
          </w:rPr>
          <w:t>п. 24.6 статьи 5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осуществление производственного контроля (</w:t>
      </w:r>
      <w:hyperlink r:id="rId56">
        <w:r>
          <w:rPr>
            <w:color w:val="0000FF"/>
          </w:rPr>
          <w:t>схемы 1д</w:t>
        </w:r>
      </w:hyperlink>
      <w:r>
        <w:t xml:space="preserve">, </w:t>
      </w:r>
      <w:hyperlink r:id="rId57">
        <w:r>
          <w:rPr>
            <w:color w:val="0000FF"/>
          </w:rPr>
          <w:t>3д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проведение испытаний образцов продукции (</w:t>
      </w:r>
      <w:hyperlink r:id="rId58">
        <w:r>
          <w:rPr>
            <w:color w:val="0000FF"/>
          </w:rPr>
          <w:t>схемы 1д</w:t>
        </w:r>
      </w:hyperlink>
      <w:r>
        <w:t xml:space="preserve">, </w:t>
      </w:r>
      <w:hyperlink r:id="rId59">
        <w:r>
          <w:rPr>
            <w:color w:val="0000FF"/>
          </w:rPr>
          <w:t>3д</w:t>
        </w:r>
      </w:hyperlink>
      <w:r>
        <w:t xml:space="preserve">, </w:t>
      </w:r>
      <w:hyperlink r:id="rId60">
        <w:r>
          <w:rPr>
            <w:color w:val="0000FF"/>
          </w:rPr>
          <w:t>4д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принятие и регистрация декларации о соответствии (</w:t>
      </w:r>
      <w:hyperlink r:id="rId61">
        <w:r>
          <w:rPr>
            <w:color w:val="0000FF"/>
          </w:rPr>
          <w:t>схемы 1д</w:t>
        </w:r>
      </w:hyperlink>
      <w:r>
        <w:t xml:space="preserve">, </w:t>
      </w:r>
      <w:hyperlink r:id="rId62">
        <w:r>
          <w:rPr>
            <w:color w:val="0000FF"/>
          </w:rPr>
          <w:t>3д</w:t>
        </w:r>
      </w:hyperlink>
      <w:r>
        <w:t xml:space="preserve">, </w:t>
      </w:r>
      <w:hyperlink r:id="rId63">
        <w:r>
          <w:rPr>
            <w:color w:val="0000FF"/>
          </w:rPr>
          <w:t>4д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нанесение </w:t>
      </w:r>
      <w:hyperlink r:id="rId64">
        <w:r>
          <w:rPr>
            <w:color w:val="0000FF"/>
          </w:rPr>
          <w:t>единого знака</w:t>
        </w:r>
      </w:hyperlink>
      <w:r>
        <w:t xml:space="preserve"> обращения (</w:t>
      </w:r>
      <w:hyperlink r:id="rId65">
        <w:r>
          <w:rPr>
            <w:color w:val="0000FF"/>
          </w:rPr>
          <w:t>схемы 1д</w:t>
        </w:r>
      </w:hyperlink>
      <w:r>
        <w:t xml:space="preserve">, </w:t>
      </w:r>
      <w:hyperlink r:id="rId66">
        <w:r>
          <w:rPr>
            <w:color w:val="0000FF"/>
          </w:rPr>
          <w:t>3д</w:t>
        </w:r>
      </w:hyperlink>
      <w:r>
        <w:t xml:space="preserve">, </w:t>
      </w:r>
      <w:hyperlink r:id="rId67">
        <w:r>
          <w:rPr>
            <w:color w:val="0000FF"/>
          </w:rPr>
          <w:t>4д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24.9. в качестве доказательственных материалов, являющихся основанием для принятия декларации о соответствии, используются документы, указанные в </w:t>
      </w:r>
      <w:hyperlink w:anchor="P376">
        <w:r>
          <w:rPr>
            <w:color w:val="0000FF"/>
          </w:rPr>
          <w:t>пункте 24.6 статьи 5</w:t>
        </w:r>
      </w:hyperlink>
      <w:r>
        <w:t xml:space="preserve"> настоящего технического регламента.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В качестве условий применения указанных документов могут рассматриваться: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1) для протоколов испытаний: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наличие в протоколах испытаний значений показателей, подтверждающих соответствие всем требованиям, установленным в настоящем техническом регламенте, распространяющимся на конкретную заявленную продукцию;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распространение протоколов испытаний на заявленные дорожно-строительные материалы;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2) сертификаты на систему менеджмента качества производства - если они распространяются на изготовление заявленных дорожно-строительных материалов;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3) иные документы, прямо или косвенно подтверждающие соответствие дорожно-строительных материалов установленным требованиям, сертификаты соответствия на заявленные дорожно-строительные материалы, выданные при добровольной сертификации;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24.10. декларация о соответствии оформляется по единой </w:t>
      </w:r>
      <w:hyperlink r:id="rId68">
        <w:r>
          <w:rPr>
            <w:color w:val="0000FF"/>
          </w:rPr>
          <w:t>форме</w:t>
        </w:r>
      </w:hyperlink>
      <w:r>
        <w:t>, утвержденной решением Комиссии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Декларация о соответствии подлежит регистрации в соответствии с </w:t>
      </w:r>
      <w:hyperlink r:id="rId69">
        <w:r>
          <w:rPr>
            <w:color w:val="0000FF"/>
          </w:rPr>
          <w:t>порядком</w:t>
        </w:r>
      </w:hyperlink>
      <w:r>
        <w:t xml:space="preserve">, утвержденным Комиссий Таможенного союза. Действие </w:t>
      </w:r>
      <w:r>
        <w:lastRenderedPageBreak/>
        <w:t>декларации о соответствии начинается со дня ее регистрации. Срок действия декларации о соответствии - не более пяти лет.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24.11. при проведении сертификации изделий (</w:t>
      </w:r>
      <w:hyperlink r:id="rId70">
        <w:r>
          <w:rPr>
            <w:color w:val="0000FF"/>
          </w:rPr>
          <w:t>схемы 1с</w:t>
        </w:r>
      </w:hyperlink>
      <w:r>
        <w:t xml:space="preserve">, </w:t>
      </w:r>
      <w:hyperlink r:id="rId71">
        <w:r>
          <w:rPr>
            <w:color w:val="0000FF"/>
          </w:rPr>
          <w:t>3с</w:t>
        </w:r>
      </w:hyperlink>
      <w:r>
        <w:t>) осуществляются следующие действия: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подача заявителем в орган по сертификации продукции заявки на проведение сертификации с прилагаемой технической документацией (</w:t>
      </w:r>
      <w:hyperlink r:id="rId72">
        <w:r>
          <w:rPr>
            <w:color w:val="0000FF"/>
          </w:rPr>
          <w:t>схемы 1с</w:t>
        </w:r>
      </w:hyperlink>
      <w:r>
        <w:t xml:space="preserve">, </w:t>
      </w:r>
      <w:hyperlink r:id="rId73">
        <w:r>
          <w:rPr>
            <w:color w:val="0000FF"/>
          </w:rPr>
          <w:t>3с</w:t>
        </w:r>
      </w:hyperlink>
      <w:r>
        <w:t xml:space="preserve">) с учетом </w:t>
      </w:r>
      <w:hyperlink w:anchor="P376">
        <w:r>
          <w:rPr>
            <w:color w:val="0000FF"/>
          </w:rPr>
          <w:t>пункта 24.6 статьи 5</w:t>
        </w:r>
      </w:hyperlink>
      <w:r>
        <w:t xml:space="preserve"> настоящего технического регламента;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рассмотрение заявки и принятие по ней решения органом по сертификации продукции (</w:t>
      </w:r>
      <w:hyperlink r:id="rId74">
        <w:r>
          <w:rPr>
            <w:color w:val="0000FF"/>
          </w:rPr>
          <w:t>схемы 1с</w:t>
        </w:r>
      </w:hyperlink>
      <w:r>
        <w:t xml:space="preserve">, </w:t>
      </w:r>
      <w:hyperlink r:id="rId75">
        <w:r>
          <w:rPr>
            <w:color w:val="0000FF"/>
          </w:rPr>
          <w:t>3с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отбор органом по сертификации продукции образцов для проведения испытаний (</w:t>
      </w:r>
      <w:hyperlink r:id="rId76">
        <w:r>
          <w:rPr>
            <w:color w:val="0000FF"/>
          </w:rPr>
          <w:t>схемы 1с</w:t>
        </w:r>
      </w:hyperlink>
      <w:r>
        <w:t xml:space="preserve">, </w:t>
      </w:r>
      <w:hyperlink r:id="rId77">
        <w:r>
          <w:rPr>
            <w:color w:val="0000FF"/>
          </w:rPr>
          <w:t>3с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проведение испытаний образцов продукции аккредитованной испытательной лабораторией (</w:t>
      </w:r>
      <w:hyperlink r:id="rId78">
        <w:r>
          <w:rPr>
            <w:color w:val="0000FF"/>
          </w:rPr>
          <w:t>схемы 1с</w:t>
        </w:r>
      </w:hyperlink>
      <w:r>
        <w:t xml:space="preserve">, </w:t>
      </w:r>
      <w:hyperlink r:id="rId79">
        <w:r>
          <w:rPr>
            <w:color w:val="0000FF"/>
          </w:rPr>
          <w:t>3с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проведение органом по сертификации продукции анализа состояния производства </w:t>
      </w:r>
      <w:hyperlink r:id="rId80">
        <w:r>
          <w:rPr>
            <w:color w:val="0000FF"/>
          </w:rPr>
          <w:t>(схема 1с)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обобщение органом по сертификации продукции результатов испытаний и анализа состояния производства и выдачу заявителю сертификата соответствия </w:t>
      </w:r>
      <w:hyperlink r:id="rId81">
        <w:r>
          <w:rPr>
            <w:color w:val="0000FF"/>
          </w:rPr>
          <w:t>(схема 1с)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анализ результатов испытаний и выдачу заявителю сертификата соответствия </w:t>
      </w:r>
      <w:hyperlink r:id="rId82">
        <w:r>
          <w:rPr>
            <w:color w:val="0000FF"/>
          </w:rPr>
          <w:t>(схема 3с)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нанесение </w:t>
      </w:r>
      <w:hyperlink r:id="rId83">
        <w:r>
          <w:rPr>
            <w:color w:val="0000FF"/>
          </w:rPr>
          <w:t>единого знака</w:t>
        </w:r>
      </w:hyperlink>
      <w:r>
        <w:t xml:space="preserve"> обращения (</w:t>
      </w:r>
      <w:hyperlink r:id="rId84">
        <w:r>
          <w:rPr>
            <w:color w:val="0000FF"/>
          </w:rPr>
          <w:t>схемы 1с</w:t>
        </w:r>
      </w:hyperlink>
      <w:r>
        <w:t xml:space="preserve">, </w:t>
      </w:r>
      <w:hyperlink r:id="rId85">
        <w:r>
          <w:rPr>
            <w:color w:val="0000FF"/>
          </w:rPr>
          <w:t>3с</w:t>
        </w:r>
      </w:hyperlink>
      <w:r>
        <w:t>);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- инспекционный </w:t>
      </w:r>
      <w:proofErr w:type="gramStart"/>
      <w:r>
        <w:t>контроль за</w:t>
      </w:r>
      <w:proofErr w:type="gramEnd"/>
      <w:r>
        <w:t xml:space="preserve"> сертифицированной продукцией </w:t>
      </w:r>
      <w:hyperlink r:id="rId86">
        <w:r>
          <w:rPr>
            <w:color w:val="0000FF"/>
          </w:rPr>
          <w:t>(схема 1с)</w:t>
        </w:r>
      </w:hyperlink>
      <w:r>
        <w:t>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24.12. </w:t>
      </w:r>
      <w:hyperlink r:id="rId87">
        <w:r>
          <w:rPr>
            <w:color w:val="0000FF"/>
          </w:rPr>
          <w:t>схема 1с</w:t>
        </w:r>
      </w:hyperlink>
      <w:r>
        <w:t xml:space="preserve"> для сертификации серийно выпускаемой продукции. </w:t>
      </w:r>
      <w:hyperlink r:id="rId88">
        <w:r>
          <w:rPr>
            <w:color w:val="0000FF"/>
          </w:rPr>
          <w:t>Схема 3с</w:t>
        </w:r>
      </w:hyperlink>
      <w:r>
        <w:t xml:space="preserve"> для партии продукции;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24.13. заявитель может обратиться с заявкой на сертификацию в любой орган по сертификации.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Заявка на проведение сертификации оформляется заявителем и должна содержать: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наименование и местонахождение заявителя;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наименование и местонахождение изготовителя;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lastRenderedPageBreak/>
        <w:t>- сведения об изделиях (их составе) и их идентифицирующие признаки (наименование,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реквизиты договора (контракта) и т.п.);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- схему сертификации.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работ по сертификации. Орган по сертификации проводит работы по сертификации, готовит решение и при положительном результате выдает заявителю сертификат соответствия.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Испытания типового образца (типовых образцов) изделия проводятся аккредитованной испытательной лабораторией (центром) по поручению органа по сертификации, которому выдается протокол испытаний.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Анализ состояния производства проводится органом по сертификац</w:t>
      </w:r>
      <w:proofErr w:type="gramStart"/>
      <w:r>
        <w:t>ии у и</w:t>
      </w:r>
      <w:proofErr w:type="gramEnd"/>
      <w:r>
        <w:t>зготовителя. Результаты анализа оформляются актом.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При положительных результатах, предусмотренных схемой сертификации, орган по сертификации оформляет сертификат соответствия и выдает его заявителю. Сертификат соответствия оформляется по единой </w:t>
      </w:r>
      <w:hyperlink r:id="rId89">
        <w:r>
          <w:rPr>
            <w:color w:val="0000FF"/>
          </w:rPr>
          <w:t>форме</w:t>
        </w:r>
      </w:hyperlink>
      <w:r>
        <w:t>, утвержденной решением Комиссии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24.14.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</w:t>
      </w:r>
      <w:hyperlink r:id="rId90">
        <w:r>
          <w:rPr>
            <w:color w:val="0000FF"/>
          </w:rPr>
          <w:t>форме</w:t>
        </w:r>
      </w:hyperlink>
      <w:r>
        <w:t>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устанавливается.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требуется детализировать состав группы однородной продукции, выпускаемой заявителем и сертифицированной по одним и тем же требованиям;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требуется указать заводы-изготовители, входящие в более крупные объединения, имеющие единые условия производства продукции;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lastRenderedPageBreak/>
        <w:t>24.15. 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24.16. </w:t>
      </w:r>
      <w:hyperlink r:id="rId9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 на рынке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Дорожно-строительные материалы и изделия, соответствующие требованиям безопасности настоящего технического регламента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Маркировка единым знаком обращения продукции на рынке государств - членов Таможенного союза осуществляется перед выпуском дорожно-строительных материалов и изделий в обращение на рынке;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24.17. единый знак обращения продукции на рынке государств - членов Таможенного союза наносится на каждую единицу изделий, определенных в Перечне изделий, подлежащих подтверждению соответствия в форме сертификации в соответствии с настоящим техническим регламентом Таможенного союза, любым способом, обеспечивающим четкое и ясное изображение в течение всего срока службы изделия. Единый знак обращения продукции на рынке государств - членов Таможенного союза наносится на само изделие;</w:t>
      </w:r>
    </w:p>
    <w:p w:rsidR="005756AC" w:rsidRDefault="005756AC">
      <w:pPr>
        <w:pStyle w:val="ConsPlusNormal"/>
        <w:spacing w:before="260"/>
        <w:ind w:firstLine="540"/>
        <w:jc w:val="both"/>
      </w:pPr>
      <w:proofErr w:type="gramStart"/>
      <w:r>
        <w:t xml:space="preserve">24.18. нанесение единого знака обращения продукции на рынке государств - членов Таможенного союза на дорожно-строительные материалы, включенные в </w:t>
      </w:r>
      <w:hyperlink w:anchor="P462">
        <w:r>
          <w:rPr>
            <w:color w:val="0000FF"/>
          </w:rPr>
          <w:t>Перечень</w:t>
        </w:r>
      </w:hyperlink>
      <w:r>
        <w:t xml:space="preserve"> дорожно-строительных материалов, подлежащих подтверждению соответствия в форме декларирования соответствия в соответствии с настоящим техническим регламентом Таможенного союза, наносится на упаковку (при ее наличии) и должна содержаться в прилагаемых товарно-сопроводительных документах на дорожно-строительные материалы;</w:t>
      </w:r>
      <w:proofErr w:type="gramEnd"/>
    </w:p>
    <w:p w:rsidR="005756AC" w:rsidRDefault="005756AC">
      <w:pPr>
        <w:pStyle w:val="ConsPlusNormal"/>
        <w:spacing w:before="260"/>
        <w:ind w:firstLine="540"/>
        <w:jc w:val="both"/>
      </w:pPr>
      <w:r>
        <w:t>24.19. дорожно-строительные материалы и изделия маркируются единым знаком обращения продукции на рынке государств - членов Таможенного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 xml:space="preserve">25.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настоящего технического регламента осуществляется органом государственного надзора в сфере автомобильных дорог в порядке, установленном </w:t>
      </w:r>
      <w:hyperlink r:id="rId92">
        <w:r>
          <w:rPr>
            <w:color w:val="0000FF"/>
          </w:rPr>
          <w:t>законодательством</w:t>
        </w:r>
      </w:hyperlink>
      <w:r>
        <w:t xml:space="preserve"> государств - членов Таможенного союза.</w:t>
      </w:r>
    </w:p>
    <w:p w:rsidR="005756AC" w:rsidRDefault="005756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соответствии с </w:t>
            </w:r>
            <w:hyperlink w:anchor="P30">
              <w:r>
                <w:rPr>
                  <w:color w:val="0000FF"/>
                </w:rPr>
                <w:t>пунктом 4</w:t>
              </w:r>
            </w:hyperlink>
            <w:r>
              <w:rPr>
                <w:color w:val="392C69"/>
              </w:rPr>
              <w:t xml:space="preserve"> данного документа </w:t>
            </w:r>
            <w:proofErr w:type="gramStart"/>
            <w:r>
              <w:rPr>
                <w:color w:val="392C69"/>
              </w:rPr>
              <w:t>с даты вступления</w:t>
            </w:r>
            <w:proofErr w:type="gramEnd"/>
            <w:r>
              <w:rPr>
                <w:color w:val="392C69"/>
              </w:rPr>
              <w:t xml:space="preserve"> в силу отдельного технического регламента Таможенного союза на строительные материалы и изделия в отношении дорожно-строительных материалов статья 6 не применяется.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ind w:firstLine="540"/>
        <w:jc w:val="both"/>
        <w:outlineLvl w:val="1"/>
      </w:pPr>
      <w:bookmarkStart w:id="9" w:name="P442"/>
      <w:bookmarkEnd w:id="9"/>
      <w:r>
        <w:lastRenderedPageBreak/>
        <w:t>Статья 6. Защитительная оговорка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>26. Основанием для применения статьи защиты могут быть следующие случаи: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невыполнение требований настоящего технического регламента;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27. Компетентный орган исполнительной власти государства - члена Таможенного союза, на территории которого выявлена продукция, не соответствующая требованиям настоящего технического регламента, обязан предпринять меры по ограничению и (или) запрету выпуска в обращение этой продукции на своей территории, а также изъятию с рынка этой продукции.</w:t>
      </w:r>
    </w:p>
    <w:p w:rsidR="005756AC" w:rsidRDefault="005756AC">
      <w:pPr>
        <w:pStyle w:val="ConsPlusNormal"/>
        <w:spacing w:before="260"/>
        <w:ind w:firstLine="540"/>
        <w:jc w:val="both"/>
      </w:pPr>
      <w:r>
        <w:t>28. Компетентный орган исполнительной власти государства - члена Таможенного союза обязан уведомить Комиссию Таможенного союза и компетентные органы исполнительной власти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jc w:val="right"/>
        <w:outlineLvl w:val="1"/>
      </w:pPr>
      <w:r>
        <w:t>Приложение 1</w:t>
      </w:r>
    </w:p>
    <w:p w:rsidR="005756AC" w:rsidRDefault="005756AC">
      <w:pPr>
        <w:pStyle w:val="ConsPlusNormal"/>
        <w:jc w:val="right"/>
      </w:pPr>
      <w:r>
        <w:t>к техническому регламенту</w:t>
      </w:r>
    </w:p>
    <w:p w:rsidR="005756AC" w:rsidRDefault="005756AC">
      <w:pPr>
        <w:pStyle w:val="ConsPlusNormal"/>
        <w:jc w:val="right"/>
      </w:pPr>
      <w:r>
        <w:t>Таможенного союза "Безопасность</w:t>
      </w:r>
    </w:p>
    <w:p w:rsidR="005756AC" w:rsidRDefault="005756AC">
      <w:pPr>
        <w:pStyle w:val="ConsPlusNormal"/>
        <w:jc w:val="right"/>
      </w:pPr>
      <w:r>
        <w:t>автомобильных дорог"</w:t>
      </w:r>
    </w:p>
    <w:p w:rsidR="005756AC" w:rsidRDefault="005756A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014/2011)</w:t>
      </w:r>
    </w:p>
    <w:p w:rsidR="005756AC" w:rsidRDefault="005756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56AC" w:rsidRDefault="005756A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w:anchor="P30">
              <w:r>
                <w:rPr>
                  <w:color w:val="0000FF"/>
                </w:rPr>
                <w:t>пунктом 4</w:t>
              </w:r>
            </w:hyperlink>
            <w:r>
              <w:rPr>
                <w:color w:val="392C69"/>
              </w:rPr>
              <w:t xml:space="preserve"> данного документа </w:t>
            </w:r>
            <w:proofErr w:type="gramStart"/>
            <w:r>
              <w:rPr>
                <w:color w:val="392C69"/>
              </w:rPr>
              <w:t>с даты вступления</w:t>
            </w:r>
            <w:proofErr w:type="gramEnd"/>
            <w:r>
              <w:rPr>
                <w:color w:val="392C69"/>
              </w:rPr>
              <w:t xml:space="preserve"> в силу отдельного технического регламента Таможенного союза на строительные материалы и изделия в отношении дорожно-строительных материалов приложение 1 не применяется.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spacing w:before="320"/>
        <w:jc w:val="center"/>
      </w:pPr>
      <w:bookmarkStart w:id="10" w:name="P462"/>
      <w:bookmarkEnd w:id="10"/>
      <w:r>
        <w:t>ПЕРЕЧЕНЬ</w:t>
      </w:r>
    </w:p>
    <w:p w:rsidR="005756AC" w:rsidRDefault="005756AC">
      <w:pPr>
        <w:pStyle w:val="ConsPlusNormal"/>
        <w:jc w:val="center"/>
      </w:pPr>
      <w:r>
        <w:t>ДОРОЖНО-СТРОИТЕЛЬНЫХ МАТЕРИАЛОВ, ПОДЛЕЖАЩИХ ПОДТВЕРЖДЕНИЮ</w:t>
      </w:r>
    </w:p>
    <w:p w:rsidR="005756AC" w:rsidRDefault="005756AC">
      <w:pPr>
        <w:pStyle w:val="ConsPlusNormal"/>
        <w:jc w:val="center"/>
      </w:pPr>
      <w:r>
        <w:lastRenderedPageBreak/>
        <w:t>СООТВЕТСТВИЯ В ФОРМЕ ДЕКЛАРИРОВАНИЯ СООТВЕТСТВИЯ</w:t>
      </w:r>
    </w:p>
    <w:p w:rsidR="005756AC" w:rsidRDefault="005756AC">
      <w:pPr>
        <w:pStyle w:val="ConsPlusNormal"/>
        <w:jc w:val="center"/>
      </w:pPr>
      <w:r>
        <w:t xml:space="preserve">В СООТВЕТСТВИИ С ТЕХНИЧЕСКИМ РЕГЛАМЕНТОМ </w:t>
      </w:r>
      <w:proofErr w:type="gramStart"/>
      <w:r>
        <w:t>ТАМОЖЕННОГО</w:t>
      </w:r>
      <w:proofErr w:type="gramEnd"/>
    </w:p>
    <w:p w:rsidR="005756AC" w:rsidRDefault="005756AC">
      <w:pPr>
        <w:pStyle w:val="ConsPlusNormal"/>
        <w:jc w:val="center"/>
      </w:pPr>
      <w:r>
        <w:t>СОЮЗА "БЕЗОПАСНОСТЬ АВТОМОБИЛЬНЫХ ДОРОГ"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5756AC" w:rsidRDefault="005756AC">
      <w:pPr>
        <w:pStyle w:val="ConsPlusCell"/>
        <w:jc w:val="both"/>
      </w:pPr>
      <w:r>
        <w:t>│ N  │             Наименование материала             │    Код позиции    │</w:t>
      </w:r>
    </w:p>
    <w:p w:rsidR="005756AC" w:rsidRDefault="005756AC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 xml:space="preserve">/п │                                                │   по </w:t>
      </w:r>
      <w:hyperlink r:id="rId93">
        <w:r>
          <w:rPr>
            <w:color w:val="0000FF"/>
          </w:rPr>
          <w:t>ТН ВЭД ТС</w:t>
        </w:r>
      </w:hyperlink>
      <w:r>
        <w:t xml:space="preserve">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1. │    Песок природный для дорожного строительства</w:t>
      </w:r>
      <w:proofErr w:type="gramStart"/>
      <w:r>
        <w:t xml:space="preserve"> │      И</w:t>
      </w:r>
      <w:proofErr w:type="gramEnd"/>
      <w:r>
        <w:t>з 2505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2. │    Песок дробленый для дорожного строительства</w:t>
      </w:r>
      <w:proofErr w:type="gramStart"/>
      <w:r>
        <w:t xml:space="preserve"> │      И</w:t>
      </w:r>
      <w:proofErr w:type="gramEnd"/>
      <w:r>
        <w:t>з 2517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3. │    Щебень и гравий из горных пород для</w:t>
      </w:r>
      <w:proofErr w:type="gramStart"/>
      <w:r>
        <w:t xml:space="preserve">         │      И</w:t>
      </w:r>
      <w:proofErr w:type="gramEnd"/>
      <w:r>
        <w:t>з 2517      │</w:t>
      </w:r>
    </w:p>
    <w:p w:rsidR="005756AC" w:rsidRDefault="005756AC">
      <w:pPr>
        <w:pStyle w:val="ConsPlusCell"/>
        <w:jc w:val="both"/>
      </w:pPr>
      <w:r>
        <w:t>│    │дорожного строительства                         │         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4. │    Минеральный порошок</w:t>
      </w:r>
      <w:proofErr w:type="gramStart"/>
      <w:r>
        <w:t xml:space="preserve">                         │      И</w:t>
      </w:r>
      <w:proofErr w:type="gramEnd"/>
      <w:r>
        <w:t>з 2517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5. │    Цемент для дорожного строительства</w:t>
      </w:r>
      <w:proofErr w:type="gramStart"/>
      <w:r>
        <w:t xml:space="preserve">          │      И</w:t>
      </w:r>
      <w:proofErr w:type="gramEnd"/>
      <w:r>
        <w:t>з 2523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6. │    Щебень и песок шлаковые для дорожного</w:t>
      </w:r>
      <w:proofErr w:type="gramStart"/>
      <w:r>
        <w:t xml:space="preserve">       │ И</w:t>
      </w:r>
      <w:proofErr w:type="gramEnd"/>
      <w:r>
        <w:t>з 2618 00 000 0  │</w:t>
      </w:r>
    </w:p>
    <w:p w:rsidR="005756AC" w:rsidRDefault="005756AC">
      <w:pPr>
        <w:pStyle w:val="ConsPlusCell"/>
        <w:jc w:val="both"/>
      </w:pPr>
      <w:r>
        <w:t>│    │строительства                                   │         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7. │    Битум нефтяной дорожный вязкий</w:t>
      </w:r>
      <w:proofErr w:type="gramStart"/>
      <w:r>
        <w:t xml:space="preserve">              │ И</w:t>
      </w:r>
      <w:proofErr w:type="gramEnd"/>
      <w:r>
        <w:t>з 2713 20 000 0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8. │    Битум нефтяной дорожный жидкий</w:t>
      </w:r>
      <w:proofErr w:type="gramStart"/>
      <w:r>
        <w:t xml:space="preserve">              │ И</w:t>
      </w:r>
      <w:proofErr w:type="gramEnd"/>
      <w:r>
        <w:t>з 2713 20 000 0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9. │    Дорожные битумные мастики и герметики</w:t>
      </w:r>
      <w:proofErr w:type="gramStart"/>
      <w:r>
        <w:t xml:space="preserve">       │      И</w:t>
      </w:r>
      <w:proofErr w:type="gramEnd"/>
      <w:r>
        <w:t>з 2713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 10.│    Материалы для дорожной разметки</w:t>
      </w:r>
      <w:proofErr w:type="gramStart"/>
      <w:r>
        <w:t xml:space="preserve">             │      И</w:t>
      </w:r>
      <w:proofErr w:type="gramEnd"/>
      <w:r>
        <w:t>з 3208      │</w:t>
      </w:r>
    </w:p>
    <w:p w:rsidR="005756AC" w:rsidRDefault="005756AC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jc w:val="right"/>
        <w:outlineLvl w:val="1"/>
      </w:pPr>
      <w:r>
        <w:t>Приложение 2</w:t>
      </w:r>
    </w:p>
    <w:p w:rsidR="005756AC" w:rsidRDefault="005756AC">
      <w:pPr>
        <w:pStyle w:val="ConsPlusNormal"/>
        <w:jc w:val="right"/>
      </w:pPr>
      <w:r>
        <w:t>к техническому регламенту</w:t>
      </w:r>
    </w:p>
    <w:p w:rsidR="005756AC" w:rsidRDefault="005756AC">
      <w:pPr>
        <w:pStyle w:val="ConsPlusNormal"/>
        <w:jc w:val="right"/>
      </w:pPr>
      <w:r>
        <w:t>Таможенного союза "Безопасность</w:t>
      </w:r>
    </w:p>
    <w:p w:rsidR="005756AC" w:rsidRDefault="005756AC">
      <w:pPr>
        <w:pStyle w:val="ConsPlusNormal"/>
        <w:jc w:val="right"/>
      </w:pPr>
      <w:r>
        <w:t>автомобильных дорог"</w:t>
      </w:r>
    </w:p>
    <w:p w:rsidR="005756AC" w:rsidRDefault="005756AC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014/2011)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jc w:val="center"/>
      </w:pPr>
      <w:bookmarkStart w:id="11" w:name="P505"/>
      <w:bookmarkEnd w:id="11"/>
      <w:r>
        <w:t>ПЕРЕЧЕНЬ</w:t>
      </w:r>
    </w:p>
    <w:p w:rsidR="005756AC" w:rsidRDefault="005756AC">
      <w:pPr>
        <w:pStyle w:val="ConsPlusNormal"/>
        <w:jc w:val="center"/>
      </w:pPr>
      <w:r>
        <w:t>ИЗДЕЛИЙ, ПОДЛЕЖАЩИХ ПОДТВЕРЖДЕНИЮ СООТВЕТСТВИЯ В ФОРМЕ</w:t>
      </w:r>
    </w:p>
    <w:p w:rsidR="005756AC" w:rsidRDefault="005756AC">
      <w:pPr>
        <w:pStyle w:val="ConsPlusNormal"/>
        <w:jc w:val="center"/>
      </w:pPr>
      <w:r>
        <w:t>СЕРТИФИКАЦИИ В СООТВЕТСТВИИ С ТЕХНИЧЕСКИМ РЕГЛАМЕНТОМ</w:t>
      </w:r>
    </w:p>
    <w:p w:rsidR="005756AC" w:rsidRDefault="005756AC">
      <w:pPr>
        <w:pStyle w:val="ConsPlusNormal"/>
        <w:jc w:val="center"/>
      </w:pPr>
      <w:r>
        <w:t>ТАМОЖЕННОГО СОЮЗА "БЕЗОПАСНОСТЬ АВТОМОБИЛЬНЫХ ДОРОГ"</w:t>
      </w:r>
    </w:p>
    <w:p w:rsidR="005756AC" w:rsidRDefault="0057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6AC" w:rsidRDefault="00575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AC" w:rsidRDefault="005756AC">
            <w:pPr>
              <w:pStyle w:val="ConsPlusNormal"/>
            </w:pPr>
          </w:p>
        </w:tc>
      </w:tr>
    </w:tbl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5756AC" w:rsidRDefault="005756AC">
      <w:pPr>
        <w:pStyle w:val="ConsPlusCell"/>
        <w:jc w:val="both"/>
      </w:pPr>
      <w:r>
        <w:lastRenderedPageBreak/>
        <w:t>│ N  │             Наименование материала             │   Код позиции     │</w:t>
      </w:r>
    </w:p>
    <w:p w:rsidR="005756AC" w:rsidRDefault="005756AC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 xml:space="preserve">/п │                                                │   по </w:t>
      </w:r>
      <w:hyperlink r:id="rId95">
        <w:r>
          <w:rPr>
            <w:color w:val="0000FF"/>
          </w:rPr>
          <w:t>ТН ВЭД ТС</w:t>
        </w:r>
      </w:hyperlink>
      <w:r>
        <w:t xml:space="preserve">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│1.  │    Дорожные светофоры</w:t>
      </w:r>
      <w:proofErr w:type="gramStart"/>
      <w:r>
        <w:t xml:space="preserve">                          │      И</w:t>
      </w:r>
      <w:proofErr w:type="gramEnd"/>
      <w:r>
        <w:t>з 8530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│2.  │    Дорожные знаки                  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96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│3.  │    Дорожные ограждения             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97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│4.  │    Табло с изменяющейся информацией</w:t>
      </w:r>
      <w:proofErr w:type="gramStart"/>
      <w:r>
        <w:t xml:space="preserve">            │      И</w:t>
      </w:r>
      <w:proofErr w:type="gramEnd"/>
      <w:r>
        <w:t>з 8530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│5.  │    Дорожные сигнальные столбики    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98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│6.  │    Дорожные тумбы                  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99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│7.  │    Дорожные световозвращатели      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100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│8.  │    Искусственные неровности сборные            │  из 8608 00 000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10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│9.  │    Опоры для монтажа технических средств       │  из 8608 00 000   │</w:t>
      </w:r>
    </w:p>
    <w:p w:rsidR="005756AC" w:rsidRDefault="005756AC">
      <w:pPr>
        <w:pStyle w:val="ConsPlusCell"/>
        <w:jc w:val="both"/>
      </w:pPr>
      <w:r>
        <w:t>│    │организации дорожного движения и стационарного  │                   │</w:t>
      </w:r>
    </w:p>
    <w:p w:rsidR="005756AC" w:rsidRDefault="005756AC">
      <w:pPr>
        <w:pStyle w:val="ConsPlusCell"/>
        <w:jc w:val="both"/>
      </w:pPr>
      <w:r>
        <w:t>│    │электрического освещения                        │                   │</w:t>
      </w:r>
    </w:p>
    <w:p w:rsidR="005756AC" w:rsidRDefault="005756AC">
      <w:pPr>
        <w:pStyle w:val="ConsPlusCell"/>
        <w:jc w:val="both"/>
      </w:pPr>
      <w:r>
        <w:t xml:space="preserve">│(в ред. </w:t>
      </w:r>
      <w:hyperlink r:id="rId102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859)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│10. │    Светильники для стационарного</w:t>
      </w:r>
      <w:proofErr w:type="gramStart"/>
      <w:r>
        <w:t xml:space="preserve">               │      И</w:t>
      </w:r>
      <w:proofErr w:type="gramEnd"/>
      <w:r>
        <w:t>з 8530      │</w:t>
      </w:r>
    </w:p>
    <w:p w:rsidR="005756AC" w:rsidRDefault="005756AC">
      <w:pPr>
        <w:pStyle w:val="ConsPlusCell"/>
        <w:jc w:val="both"/>
      </w:pPr>
      <w:r>
        <w:t>│    │электрического освещения                        │             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│11. │    Камни натуральные и искусственные бортовые</w:t>
      </w:r>
      <w:proofErr w:type="gramStart"/>
      <w:r>
        <w:t xml:space="preserve">  │      И</w:t>
      </w:r>
      <w:proofErr w:type="gramEnd"/>
      <w:r>
        <w:t>з 2516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│12. │    Трубы дорожные водопропускные</w:t>
      </w:r>
      <w:proofErr w:type="gramStart"/>
      <w:r>
        <w:t xml:space="preserve">               │      И</w:t>
      </w:r>
      <w:proofErr w:type="gramEnd"/>
      <w:r>
        <w:t>з 6810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│13. │    Плиты дорожные железобетонные</w:t>
      </w:r>
      <w:proofErr w:type="gramStart"/>
      <w:r>
        <w:t xml:space="preserve">               │      И</w:t>
      </w:r>
      <w:proofErr w:type="gramEnd"/>
      <w:r>
        <w:t>з 6810      │</w:t>
      </w:r>
    </w:p>
    <w:p w:rsidR="005756AC" w:rsidRDefault="005756A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5756AC" w:rsidRDefault="005756AC">
      <w:pPr>
        <w:pStyle w:val="ConsPlusCell"/>
        <w:jc w:val="both"/>
      </w:pPr>
      <w:r>
        <w:t>│14. │    Лотки дорожные водоотводные</w:t>
      </w:r>
      <w:proofErr w:type="gramStart"/>
      <w:r>
        <w:t xml:space="preserve">                 │      И</w:t>
      </w:r>
      <w:proofErr w:type="gramEnd"/>
      <w:r>
        <w:t>з 6815      │</w:t>
      </w:r>
    </w:p>
    <w:p w:rsidR="005756AC" w:rsidRDefault="005756AC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Title"/>
        <w:jc w:val="center"/>
        <w:outlineLvl w:val="0"/>
      </w:pPr>
      <w:bookmarkStart w:id="12" w:name="P557"/>
      <w:bookmarkEnd w:id="12"/>
      <w:r>
        <w:t>ПЕРЕЧЕНЬ</w:t>
      </w:r>
    </w:p>
    <w:p w:rsidR="005756AC" w:rsidRDefault="005756AC">
      <w:pPr>
        <w:pStyle w:val="ConsPlusTitle"/>
        <w:jc w:val="center"/>
      </w:pPr>
      <w:r>
        <w:t xml:space="preserve">СТАНДАРТОВ, В РЕЗУЛЬТАТЕ ПРИМЕНЕНИЯ КОТОРЫХ НА </w:t>
      </w:r>
      <w:proofErr w:type="gramStart"/>
      <w:r>
        <w:t>ДОБРОВОЛЬНОЙ</w:t>
      </w:r>
      <w:proofErr w:type="gramEnd"/>
    </w:p>
    <w:p w:rsidR="005756AC" w:rsidRDefault="005756AC">
      <w:pPr>
        <w:pStyle w:val="ConsPlusTitle"/>
        <w:jc w:val="center"/>
      </w:pPr>
      <w:r>
        <w:t xml:space="preserve">ОСНОВЕ ОБЕСПЕЧИВАЕТСЯ СОБЛЮДЕНИЕ ТРЕБОВАНИЙ </w:t>
      </w:r>
      <w:proofErr w:type="gramStart"/>
      <w:r>
        <w:t>ТЕХНИЧЕСКОГО</w:t>
      </w:r>
      <w:proofErr w:type="gramEnd"/>
    </w:p>
    <w:p w:rsidR="005756AC" w:rsidRDefault="005756AC">
      <w:pPr>
        <w:pStyle w:val="ConsPlusTitle"/>
        <w:jc w:val="center"/>
      </w:pPr>
      <w:r>
        <w:t>РЕГЛАМЕНТА ТАМОЖЕННОГО СОЮЗА "БЕЗОПАСНОСТЬ</w:t>
      </w:r>
    </w:p>
    <w:p w:rsidR="005756AC" w:rsidRDefault="005756AC">
      <w:pPr>
        <w:pStyle w:val="ConsPlusTitle"/>
        <w:jc w:val="center"/>
      </w:pPr>
      <w:r>
        <w:t>АВТОМОБИЛЬНЫХ ДОРОГ"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 xml:space="preserve">Утратил силу. - </w:t>
      </w:r>
      <w:hyperlink r:id="rId103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18.09.2012 N 159.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Title"/>
        <w:jc w:val="center"/>
        <w:outlineLvl w:val="0"/>
      </w:pPr>
      <w:r>
        <w:t>ПЕРЕЧЕНЬ</w:t>
      </w:r>
    </w:p>
    <w:p w:rsidR="005756AC" w:rsidRDefault="005756AC">
      <w:pPr>
        <w:pStyle w:val="ConsPlusTitle"/>
        <w:jc w:val="center"/>
      </w:pPr>
      <w:r>
        <w:lastRenderedPageBreak/>
        <w:t>СТАНДАРТОВ, СОДЕРЖАЩИЕ ПРАВИЛА И МЕТОДЫ ИССЛЕДОВАНИЙ</w:t>
      </w:r>
    </w:p>
    <w:p w:rsidR="005756AC" w:rsidRDefault="005756AC">
      <w:pPr>
        <w:pStyle w:val="ConsPlusTitle"/>
        <w:jc w:val="center"/>
      </w:pPr>
      <w:r>
        <w:t>(ИСПЫТАНИЙ) И ИЗМЕРЕНИЙ, В ТОМ ЧИСЛЕ ПРАВИЛА ОТБОРА</w:t>
      </w:r>
    </w:p>
    <w:p w:rsidR="005756AC" w:rsidRDefault="005756AC">
      <w:pPr>
        <w:pStyle w:val="ConsPlusTitle"/>
        <w:jc w:val="center"/>
      </w:pPr>
      <w:r>
        <w:t>ОБРАЗЦОВ, НЕОБХОДИМЫЕ ДЛЯ ПРИМЕНЕНИЯ И ИСПОЛНЕНИЯ</w:t>
      </w:r>
    </w:p>
    <w:p w:rsidR="005756AC" w:rsidRDefault="005756AC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5756AC" w:rsidRDefault="005756AC">
      <w:pPr>
        <w:pStyle w:val="ConsPlusTitle"/>
        <w:jc w:val="center"/>
      </w:pPr>
      <w:r>
        <w:t>"БЕЗОПАСНОСТЬ АВТОМОБИЛЬНЫХ ДОРОГ" И ОСУЩЕСТВЛЕНИЯ</w:t>
      </w:r>
    </w:p>
    <w:p w:rsidR="005756AC" w:rsidRDefault="005756AC">
      <w:pPr>
        <w:pStyle w:val="ConsPlusTitle"/>
        <w:jc w:val="center"/>
      </w:pPr>
      <w:r>
        <w:t>ОЦЕНКИ (ПОДТВЕРЖДЕНИЯ) СООТВЕТСТВИЯ ПРОДУКЦИИ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  <w:r>
        <w:t xml:space="preserve">Утратил силу. - </w:t>
      </w:r>
      <w:hyperlink r:id="rId104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18.09.2012 N 159.</w:t>
      </w: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ind w:firstLine="540"/>
        <w:jc w:val="both"/>
      </w:pPr>
    </w:p>
    <w:p w:rsidR="005756AC" w:rsidRDefault="005756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013" w:rsidRDefault="002C0013"/>
    <w:sectPr w:rsidR="002C0013" w:rsidSect="00CE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5756AC"/>
    <w:rsid w:val="002C0013"/>
    <w:rsid w:val="004143AF"/>
    <w:rsid w:val="005756AC"/>
    <w:rsid w:val="00DE0D9B"/>
    <w:rsid w:val="00E9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E0D9B"/>
    <w:pPr>
      <w:jc w:val="center"/>
    </w:pPr>
    <w:rPr>
      <w:rFonts w:ascii="Times New Roman" w:hAnsi="Times New Roman"/>
      <w:b/>
      <w:sz w:val="26"/>
    </w:rPr>
  </w:style>
  <w:style w:type="paragraph" w:styleId="1">
    <w:name w:val="heading 1"/>
    <w:basedOn w:val="a"/>
    <w:next w:val="a"/>
    <w:link w:val="10"/>
    <w:uiPriority w:val="9"/>
    <w:qFormat/>
    <w:rsid w:val="00DE0D9B"/>
    <w:pPr>
      <w:keepNext/>
      <w:keepLines/>
      <w:spacing w:before="480" w:after="0"/>
      <w:ind w:firstLine="567"/>
      <w:jc w:val="both"/>
      <w:outlineLvl w:val="0"/>
    </w:pPr>
    <w:rPr>
      <w:rFonts w:eastAsiaTheme="majorEastAsia" w:cstheme="majorBidi"/>
      <w:b w:val="0"/>
      <w:bCs/>
      <w:color w:val="000000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DE0D9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D9B"/>
    <w:rPr>
      <w:rFonts w:ascii="Times New Roman" w:eastAsiaTheme="majorEastAsia" w:hAnsi="Times New Roman" w:cstheme="majorBidi"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E0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E0D9B"/>
    <w:pPr>
      <w:ind w:left="720"/>
      <w:contextualSpacing/>
    </w:pPr>
  </w:style>
  <w:style w:type="paragraph" w:customStyle="1" w:styleId="ConsPlusNormal">
    <w:name w:val="ConsPlusNormal"/>
    <w:rsid w:val="005756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customStyle="1" w:styleId="ConsPlusNonformat">
    <w:name w:val="ConsPlusNonformat"/>
    <w:rsid w:val="00575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56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customStyle="1" w:styleId="ConsPlusCell">
    <w:name w:val="ConsPlusCell"/>
    <w:rsid w:val="00575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56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customStyle="1" w:styleId="ConsPlusTitlePage">
    <w:name w:val="ConsPlusTitlePage"/>
    <w:rsid w:val="005756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56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5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318" TargetMode="External"/><Relationship Id="rId21" Type="http://schemas.openxmlformats.org/officeDocument/2006/relationships/hyperlink" Target="https://login.consultant.ru/link/?req=doc&amp;base=INT&amp;n=15758" TargetMode="External"/><Relationship Id="rId42" Type="http://schemas.openxmlformats.org/officeDocument/2006/relationships/hyperlink" Target="https://login.consultant.ru/link/?req=doc&amp;base=LAW&amp;n=113972&amp;dst=100367" TargetMode="External"/><Relationship Id="rId47" Type="http://schemas.openxmlformats.org/officeDocument/2006/relationships/hyperlink" Target="https://login.consultant.ru/link/?req=doc&amp;base=LAW&amp;n=113972&amp;dst=100364" TargetMode="External"/><Relationship Id="rId63" Type="http://schemas.openxmlformats.org/officeDocument/2006/relationships/hyperlink" Target="https://login.consultant.ru/link/?req=doc&amp;base=LAW&amp;n=113972&amp;dst=100367" TargetMode="External"/><Relationship Id="rId68" Type="http://schemas.openxmlformats.org/officeDocument/2006/relationships/hyperlink" Target="https://login.consultant.ru/link/?req=doc&amp;base=LAW&amp;n=444388&amp;dst=100065" TargetMode="External"/><Relationship Id="rId84" Type="http://schemas.openxmlformats.org/officeDocument/2006/relationships/hyperlink" Target="https://login.consultant.ru/link/?req=doc&amp;base=LAW&amp;n=113972&amp;dst=100352" TargetMode="External"/><Relationship Id="rId89" Type="http://schemas.openxmlformats.org/officeDocument/2006/relationships/hyperlink" Target="https://login.consultant.ru/link/?req=doc&amp;base=LAW&amp;n=444388&amp;dst=100013" TargetMode="External"/><Relationship Id="rId7" Type="http://schemas.openxmlformats.org/officeDocument/2006/relationships/hyperlink" Target="https://login.consultant.ru/link/?req=doc&amp;base=LAW&amp;n=187333&amp;dst=100005" TargetMode="External"/><Relationship Id="rId71" Type="http://schemas.openxmlformats.org/officeDocument/2006/relationships/hyperlink" Target="https://login.consultant.ru/link/?req=doc&amp;base=LAW&amp;n=113972&amp;dst=100354" TargetMode="External"/><Relationship Id="rId92" Type="http://schemas.openxmlformats.org/officeDocument/2006/relationships/hyperlink" Target="https://login.consultant.ru/link/?req=doc&amp;base=LAW&amp;n=461843&amp;dst=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7333&amp;dst=100010" TargetMode="External"/><Relationship Id="rId29" Type="http://schemas.openxmlformats.org/officeDocument/2006/relationships/hyperlink" Target="https://login.consultant.ru/link/?req=doc&amp;base=LAW&amp;n=113972&amp;dst=100364" TargetMode="External"/><Relationship Id="rId11" Type="http://schemas.openxmlformats.org/officeDocument/2006/relationships/hyperlink" Target="https://login.consultant.ru/link/?req=doc&amp;base=LAW&amp;n=388109" TargetMode="External"/><Relationship Id="rId24" Type="http://schemas.openxmlformats.org/officeDocument/2006/relationships/hyperlink" Target="https://login.consultant.ru/link/?req=doc&amp;base=LAW&amp;n=461843" TargetMode="External"/><Relationship Id="rId32" Type="http://schemas.openxmlformats.org/officeDocument/2006/relationships/hyperlink" Target="https://login.consultant.ru/link/?req=doc&amp;base=LAW&amp;n=113972&amp;dst=100364" TargetMode="External"/><Relationship Id="rId37" Type="http://schemas.openxmlformats.org/officeDocument/2006/relationships/hyperlink" Target="https://login.consultant.ru/link/?req=doc&amp;base=LAW&amp;n=113972&amp;dst=100364" TargetMode="External"/><Relationship Id="rId40" Type="http://schemas.openxmlformats.org/officeDocument/2006/relationships/hyperlink" Target="https://login.consultant.ru/link/?req=doc&amp;base=LAW&amp;n=113972&amp;dst=100364" TargetMode="External"/><Relationship Id="rId45" Type="http://schemas.openxmlformats.org/officeDocument/2006/relationships/hyperlink" Target="https://login.consultant.ru/link/?req=doc&amp;base=LAW&amp;n=113972&amp;dst=100366" TargetMode="External"/><Relationship Id="rId53" Type="http://schemas.openxmlformats.org/officeDocument/2006/relationships/hyperlink" Target="https://login.consultant.ru/link/?req=doc&amp;base=LAW&amp;n=113972&amp;dst=100364" TargetMode="External"/><Relationship Id="rId58" Type="http://schemas.openxmlformats.org/officeDocument/2006/relationships/hyperlink" Target="https://login.consultant.ru/link/?req=doc&amp;base=LAW&amp;n=113972&amp;dst=100364" TargetMode="External"/><Relationship Id="rId66" Type="http://schemas.openxmlformats.org/officeDocument/2006/relationships/hyperlink" Target="https://login.consultant.ru/link/?req=doc&amp;base=LAW&amp;n=113972&amp;dst=100366" TargetMode="External"/><Relationship Id="rId74" Type="http://schemas.openxmlformats.org/officeDocument/2006/relationships/hyperlink" Target="https://login.consultant.ru/link/?req=doc&amp;base=LAW&amp;n=113972&amp;dst=100352" TargetMode="External"/><Relationship Id="rId79" Type="http://schemas.openxmlformats.org/officeDocument/2006/relationships/hyperlink" Target="https://login.consultant.ru/link/?req=doc&amp;base=LAW&amp;n=113972&amp;dst=100354" TargetMode="External"/><Relationship Id="rId87" Type="http://schemas.openxmlformats.org/officeDocument/2006/relationships/hyperlink" Target="https://login.consultant.ru/link/?req=doc&amp;base=LAW&amp;n=113972&amp;dst=100352" TargetMode="External"/><Relationship Id="rId102" Type="http://schemas.openxmlformats.org/officeDocument/2006/relationships/hyperlink" Target="https://login.consultant.ru/link/?req=doc&amp;base=LAW&amp;n=363063&amp;dst=100488" TargetMode="External"/><Relationship Id="rId5" Type="http://schemas.openxmlformats.org/officeDocument/2006/relationships/hyperlink" Target="https://login.consultant.ru/link/?req=doc&amp;base=LAW&amp;n=363063&amp;dst=100488" TargetMode="External"/><Relationship Id="rId61" Type="http://schemas.openxmlformats.org/officeDocument/2006/relationships/hyperlink" Target="https://login.consultant.ru/link/?req=doc&amp;base=LAW&amp;n=113972&amp;dst=100364" TargetMode="External"/><Relationship Id="rId82" Type="http://schemas.openxmlformats.org/officeDocument/2006/relationships/hyperlink" Target="https://login.consultant.ru/link/?req=doc&amp;base=LAW&amp;n=113972&amp;dst=100354" TargetMode="External"/><Relationship Id="rId90" Type="http://schemas.openxmlformats.org/officeDocument/2006/relationships/hyperlink" Target="https://login.consultant.ru/link/?req=doc&amp;base=LAW&amp;n=444388&amp;dst=100013" TargetMode="External"/><Relationship Id="rId95" Type="http://schemas.openxmlformats.org/officeDocument/2006/relationships/hyperlink" Target="https://login.consultant.ru/link/?req=doc&amp;base=LAW&amp;n=476376&amp;dst=100162" TargetMode="External"/><Relationship Id="rId19" Type="http://schemas.openxmlformats.org/officeDocument/2006/relationships/hyperlink" Target="https://login.consultant.ru/link/?req=doc&amp;base=INT&amp;n=15165" TargetMode="External"/><Relationship Id="rId14" Type="http://schemas.openxmlformats.org/officeDocument/2006/relationships/hyperlink" Target="https://login.consultant.ru/link/?req=doc&amp;base=LAW&amp;n=187333&amp;dst=100006" TargetMode="External"/><Relationship Id="rId22" Type="http://schemas.openxmlformats.org/officeDocument/2006/relationships/hyperlink" Target="https://login.consultant.ru/link/?req=doc&amp;base=INT&amp;n=6518" TargetMode="External"/><Relationship Id="rId27" Type="http://schemas.openxmlformats.org/officeDocument/2006/relationships/hyperlink" Target="https://login.consultant.ru/link/?req=doc&amp;base=LAW&amp;n=461843" TargetMode="External"/><Relationship Id="rId30" Type="http://schemas.openxmlformats.org/officeDocument/2006/relationships/hyperlink" Target="https://login.consultant.ru/link/?req=doc&amp;base=LAW&amp;n=113972&amp;dst=100366" TargetMode="External"/><Relationship Id="rId35" Type="http://schemas.openxmlformats.org/officeDocument/2006/relationships/hyperlink" Target="https://login.consultant.ru/link/?req=doc&amp;base=LAW&amp;n=113972&amp;dst=100352" TargetMode="External"/><Relationship Id="rId43" Type="http://schemas.openxmlformats.org/officeDocument/2006/relationships/hyperlink" Target="https://login.consultant.ru/link/?req=doc&amp;base=LAW&amp;n=113972&amp;dst=100366" TargetMode="External"/><Relationship Id="rId48" Type="http://schemas.openxmlformats.org/officeDocument/2006/relationships/hyperlink" Target="https://login.consultant.ru/link/?req=doc&amp;base=LAW&amp;n=113972&amp;dst=100366" TargetMode="External"/><Relationship Id="rId56" Type="http://schemas.openxmlformats.org/officeDocument/2006/relationships/hyperlink" Target="https://login.consultant.ru/link/?req=doc&amp;base=LAW&amp;n=113972&amp;dst=100364" TargetMode="External"/><Relationship Id="rId64" Type="http://schemas.openxmlformats.org/officeDocument/2006/relationships/hyperlink" Target="https://login.consultant.ru/link/?req=doc&amp;base=LAW&amp;n=197468&amp;dst=100012" TargetMode="External"/><Relationship Id="rId69" Type="http://schemas.openxmlformats.org/officeDocument/2006/relationships/hyperlink" Target="https://login.consultant.ru/link/?req=doc&amp;base=LAW&amp;n=435463&amp;dst=100011" TargetMode="External"/><Relationship Id="rId77" Type="http://schemas.openxmlformats.org/officeDocument/2006/relationships/hyperlink" Target="https://login.consultant.ru/link/?req=doc&amp;base=LAW&amp;n=113972&amp;dst=100354" TargetMode="External"/><Relationship Id="rId100" Type="http://schemas.openxmlformats.org/officeDocument/2006/relationships/hyperlink" Target="https://login.consultant.ru/link/?req=doc&amp;base=LAW&amp;n=363063&amp;dst=100488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07086&amp;dst=100077" TargetMode="External"/><Relationship Id="rId51" Type="http://schemas.openxmlformats.org/officeDocument/2006/relationships/hyperlink" Target="https://login.consultant.ru/link/?req=doc&amp;base=LAW&amp;n=113972&amp;dst=100366" TargetMode="External"/><Relationship Id="rId72" Type="http://schemas.openxmlformats.org/officeDocument/2006/relationships/hyperlink" Target="https://login.consultant.ru/link/?req=doc&amp;base=LAW&amp;n=113972&amp;dst=100352" TargetMode="External"/><Relationship Id="rId80" Type="http://schemas.openxmlformats.org/officeDocument/2006/relationships/hyperlink" Target="https://login.consultant.ru/link/?req=doc&amp;base=LAW&amp;n=113972&amp;dst=100352" TargetMode="External"/><Relationship Id="rId85" Type="http://schemas.openxmlformats.org/officeDocument/2006/relationships/hyperlink" Target="https://login.consultant.ru/link/?req=doc&amp;base=LAW&amp;n=113972&amp;dst=100354" TargetMode="External"/><Relationship Id="rId93" Type="http://schemas.openxmlformats.org/officeDocument/2006/relationships/hyperlink" Target="https://login.consultant.ru/link/?req=doc&amp;base=LAW&amp;n=476376&amp;dst=100162" TargetMode="External"/><Relationship Id="rId98" Type="http://schemas.openxmlformats.org/officeDocument/2006/relationships/hyperlink" Target="https://login.consultant.ru/link/?req=doc&amp;base=LAW&amp;n=363063&amp;dst=1004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622" TargetMode="External"/><Relationship Id="rId17" Type="http://schemas.openxmlformats.org/officeDocument/2006/relationships/hyperlink" Target="https://login.consultant.ru/link/?req=doc&amp;base=LAW&amp;n=363063&amp;dst=100488" TargetMode="External"/><Relationship Id="rId25" Type="http://schemas.openxmlformats.org/officeDocument/2006/relationships/hyperlink" Target="https://login.consultant.ru/link/?req=doc&amp;base=LAW&amp;n=461843" TargetMode="External"/><Relationship Id="rId33" Type="http://schemas.openxmlformats.org/officeDocument/2006/relationships/hyperlink" Target="https://login.consultant.ru/link/?req=doc&amp;base=LAW&amp;n=113972&amp;dst=100366" TargetMode="External"/><Relationship Id="rId38" Type="http://schemas.openxmlformats.org/officeDocument/2006/relationships/hyperlink" Target="https://login.consultant.ru/link/?req=doc&amp;base=LAW&amp;n=113972&amp;dst=100366" TargetMode="External"/><Relationship Id="rId46" Type="http://schemas.openxmlformats.org/officeDocument/2006/relationships/hyperlink" Target="https://login.consultant.ru/link/?req=doc&amp;base=LAW&amp;n=113972&amp;dst=100367" TargetMode="External"/><Relationship Id="rId59" Type="http://schemas.openxmlformats.org/officeDocument/2006/relationships/hyperlink" Target="https://login.consultant.ru/link/?req=doc&amp;base=LAW&amp;n=113972&amp;dst=100366" TargetMode="External"/><Relationship Id="rId67" Type="http://schemas.openxmlformats.org/officeDocument/2006/relationships/hyperlink" Target="https://login.consultant.ru/link/?req=doc&amp;base=LAW&amp;n=113972&amp;dst=100367" TargetMode="External"/><Relationship Id="rId103" Type="http://schemas.openxmlformats.org/officeDocument/2006/relationships/hyperlink" Target="https://login.consultant.ru/link/?req=doc&amp;base=LAW&amp;n=213551&amp;dst=100008" TargetMode="External"/><Relationship Id="rId20" Type="http://schemas.openxmlformats.org/officeDocument/2006/relationships/hyperlink" Target="https://login.consultant.ru/link/?req=doc&amp;base=LAW&amp;n=136493" TargetMode="External"/><Relationship Id="rId41" Type="http://schemas.openxmlformats.org/officeDocument/2006/relationships/hyperlink" Target="https://login.consultant.ru/link/?req=doc&amp;base=LAW&amp;n=113972&amp;dst=100366" TargetMode="External"/><Relationship Id="rId54" Type="http://schemas.openxmlformats.org/officeDocument/2006/relationships/hyperlink" Target="https://login.consultant.ru/link/?req=doc&amp;base=LAW&amp;n=113972&amp;dst=100366" TargetMode="External"/><Relationship Id="rId62" Type="http://schemas.openxmlformats.org/officeDocument/2006/relationships/hyperlink" Target="https://login.consultant.ru/link/?req=doc&amp;base=LAW&amp;n=113972&amp;dst=100366" TargetMode="External"/><Relationship Id="rId70" Type="http://schemas.openxmlformats.org/officeDocument/2006/relationships/hyperlink" Target="https://login.consultant.ru/link/?req=doc&amp;base=LAW&amp;n=113972&amp;dst=100352" TargetMode="External"/><Relationship Id="rId75" Type="http://schemas.openxmlformats.org/officeDocument/2006/relationships/hyperlink" Target="https://login.consultant.ru/link/?req=doc&amp;base=LAW&amp;n=113972&amp;dst=100354" TargetMode="External"/><Relationship Id="rId83" Type="http://schemas.openxmlformats.org/officeDocument/2006/relationships/hyperlink" Target="https://login.consultant.ru/link/?req=doc&amp;base=LAW&amp;n=197468&amp;dst=100012" TargetMode="External"/><Relationship Id="rId88" Type="http://schemas.openxmlformats.org/officeDocument/2006/relationships/hyperlink" Target="https://login.consultant.ru/link/?req=doc&amp;base=LAW&amp;n=113972&amp;dst=100354" TargetMode="External"/><Relationship Id="rId91" Type="http://schemas.openxmlformats.org/officeDocument/2006/relationships/hyperlink" Target="https://login.consultant.ru/link/?req=doc&amp;base=LAW&amp;n=197468&amp;dst=100012" TargetMode="External"/><Relationship Id="rId96" Type="http://schemas.openxmlformats.org/officeDocument/2006/relationships/hyperlink" Target="https://login.consultant.ru/link/?req=doc&amp;base=LAW&amp;n=363063&amp;dst=1004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551&amp;dst=100008" TargetMode="External"/><Relationship Id="rId15" Type="http://schemas.openxmlformats.org/officeDocument/2006/relationships/hyperlink" Target="https://login.consultant.ru/link/?req=doc&amp;base=LAW&amp;n=187333&amp;dst=100008" TargetMode="External"/><Relationship Id="rId23" Type="http://schemas.openxmlformats.org/officeDocument/2006/relationships/hyperlink" Target="https://login.consultant.ru/link/?req=doc&amp;base=LAW&amp;n=461843" TargetMode="External"/><Relationship Id="rId28" Type="http://schemas.openxmlformats.org/officeDocument/2006/relationships/hyperlink" Target="https://login.consultant.ru/link/?req=doc&amp;base=LAW&amp;n=113972&amp;dst=100011" TargetMode="External"/><Relationship Id="rId36" Type="http://schemas.openxmlformats.org/officeDocument/2006/relationships/hyperlink" Target="https://login.consultant.ru/link/?req=doc&amp;base=LAW&amp;n=113972&amp;dst=100354" TargetMode="External"/><Relationship Id="rId49" Type="http://schemas.openxmlformats.org/officeDocument/2006/relationships/hyperlink" Target="https://login.consultant.ru/link/?req=doc&amp;base=LAW&amp;n=113972&amp;dst=100367" TargetMode="External"/><Relationship Id="rId57" Type="http://schemas.openxmlformats.org/officeDocument/2006/relationships/hyperlink" Target="https://login.consultant.ru/link/?req=doc&amp;base=LAW&amp;n=113972&amp;dst=100366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6622" TargetMode="External"/><Relationship Id="rId31" Type="http://schemas.openxmlformats.org/officeDocument/2006/relationships/hyperlink" Target="https://login.consultant.ru/link/?req=doc&amp;base=LAW&amp;n=113972&amp;dst=100367" TargetMode="External"/><Relationship Id="rId44" Type="http://schemas.openxmlformats.org/officeDocument/2006/relationships/hyperlink" Target="https://login.consultant.ru/link/?req=doc&amp;base=LAW&amp;n=113972&amp;dst=100367" TargetMode="External"/><Relationship Id="rId52" Type="http://schemas.openxmlformats.org/officeDocument/2006/relationships/hyperlink" Target="https://login.consultant.ru/link/?req=doc&amp;base=LAW&amp;n=113972&amp;dst=100367" TargetMode="External"/><Relationship Id="rId60" Type="http://schemas.openxmlformats.org/officeDocument/2006/relationships/hyperlink" Target="https://login.consultant.ru/link/?req=doc&amp;base=LAW&amp;n=113972&amp;dst=100367" TargetMode="External"/><Relationship Id="rId65" Type="http://schemas.openxmlformats.org/officeDocument/2006/relationships/hyperlink" Target="https://login.consultant.ru/link/?req=doc&amp;base=LAW&amp;n=113972&amp;dst=100364" TargetMode="External"/><Relationship Id="rId73" Type="http://schemas.openxmlformats.org/officeDocument/2006/relationships/hyperlink" Target="https://login.consultant.ru/link/?req=doc&amp;base=LAW&amp;n=113972&amp;dst=100354" TargetMode="External"/><Relationship Id="rId78" Type="http://schemas.openxmlformats.org/officeDocument/2006/relationships/hyperlink" Target="https://login.consultant.ru/link/?req=doc&amp;base=LAW&amp;n=113972&amp;dst=100352" TargetMode="External"/><Relationship Id="rId81" Type="http://schemas.openxmlformats.org/officeDocument/2006/relationships/hyperlink" Target="https://login.consultant.ru/link/?req=doc&amp;base=LAW&amp;n=113972&amp;dst=100352" TargetMode="External"/><Relationship Id="rId86" Type="http://schemas.openxmlformats.org/officeDocument/2006/relationships/hyperlink" Target="https://login.consultant.ru/link/?req=doc&amp;base=LAW&amp;n=113972&amp;dst=100352" TargetMode="External"/><Relationship Id="rId94" Type="http://schemas.openxmlformats.org/officeDocument/2006/relationships/hyperlink" Target="https://login.consultant.ru/link/?req=doc&amp;base=LAW&amp;n=363063&amp;dst=100488" TargetMode="External"/><Relationship Id="rId99" Type="http://schemas.openxmlformats.org/officeDocument/2006/relationships/hyperlink" Target="https://login.consultant.ru/link/?req=doc&amp;base=LAW&amp;n=363063&amp;dst=100488" TargetMode="External"/><Relationship Id="rId101" Type="http://schemas.openxmlformats.org/officeDocument/2006/relationships/hyperlink" Target="https://login.consultant.ru/link/?req=doc&amp;base=LAW&amp;n=363063&amp;dst=1004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3551&amp;dst=100008" TargetMode="External"/><Relationship Id="rId13" Type="http://schemas.openxmlformats.org/officeDocument/2006/relationships/hyperlink" Target="https://login.consultant.ru/link/?req=doc&amp;base=LAW&amp;n=388109" TargetMode="External"/><Relationship Id="rId18" Type="http://schemas.openxmlformats.org/officeDocument/2006/relationships/hyperlink" Target="https://login.consultant.ru/link/?req=doc&amp;base=LAW&amp;n=107086" TargetMode="External"/><Relationship Id="rId39" Type="http://schemas.openxmlformats.org/officeDocument/2006/relationships/hyperlink" Target="https://login.consultant.ru/link/?req=doc&amp;base=LAW&amp;n=113972&amp;dst=100367" TargetMode="External"/><Relationship Id="rId34" Type="http://schemas.openxmlformats.org/officeDocument/2006/relationships/hyperlink" Target="https://login.consultant.ru/link/?req=doc&amp;base=LAW&amp;n=113972&amp;dst=100367" TargetMode="External"/><Relationship Id="rId50" Type="http://schemas.openxmlformats.org/officeDocument/2006/relationships/hyperlink" Target="https://login.consultant.ru/link/?req=doc&amp;base=LAW&amp;n=113972&amp;dst=100364" TargetMode="External"/><Relationship Id="rId55" Type="http://schemas.openxmlformats.org/officeDocument/2006/relationships/hyperlink" Target="https://login.consultant.ru/link/?req=doc&amp;base=LAW&amp;n=113972&amp;dst=100367" TargetMode="External"/><Relationship Id="rId76" Type="http://schemas.openxmlformats.org/officeDocument/2006/relationships/hyperlink" Target="https://login.consultant.ru/link/?req=doc&amp;base=LAW&amp;n=113972&amp;dst=100352" TargetMode="External"/><Relationship Id="rId97" Type="http://schemas.openxmlformats.org/officeDocument/2006/relationships/hyperlink" Target="https://login.consultant.ru/link/?req=doc&amp;base=LAW&amp;n=363063&amp;dst=100488" TargetMode="External"/><Relationship Id="rId104" Type="http://schemas.openxmlformats.org/officeDocument/2006/relationships/hyperlink" Target="https://login.consultant.ru/link/?req=doc&amp;base=LAW&amp;n=21355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15414</Words>
  <Characters>87861</Characters>
  <Application>Microsoft Office Word</Application>
  <DocSecurity>0</DocSecurity>
  <Lines>732</Lines>
  <Paragraphs>206</Paragraphs>
  <ScaleCrop>false</ScaleCrop>
  <Company/>
  <LinksUpToDate>false</LinksUpToDate>
  <CharactersWithSpaces>103069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2024-06-11T06:58:00Z</dcterms:created>
  <dcterms:modified xsi:type="dcterms:W3CDTF">2024-06-11T07:00:00Z</dcterms:modified>
</cp:coreProperties>
</file>